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Thương hiệu : Razer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Khối lượng: 240 gram 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Microphone: Có 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Kiểu kết nối: Có dây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Mô tả khác: 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Thử tiếng ồn thụ động nâng cao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Chất liệu khung bằng kim loại cao cấp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Đệm tai nghe bằng đệm xốp foam thoáng khí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