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Razer Kraken V3 HyperSense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Razer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344 gram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Chùm tai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Có thể tháo rời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Có dây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Mô tả khác: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Chống ồn bị động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Đèn Led Razer Chroma RGB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Tính năng Razer HyperSense (công nghệ phản hồi xúc giác)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