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Tai nghe HyperX Cloud II Wireless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Thương hiệu : HyperX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Bảo hành: 24 tháng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Màu sắc: Đen – đỏ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Khối lượng: 309 gram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Kiểu tai nghe: Đeo đầu, chụp kín tai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Microphone: Có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Kiểu kết nối: không dây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Thời lượng pin: 30 giờ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Mô tả khác: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Mút hoạt tính đặc trưng của HyperX và lớp giả da cao cấp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Âm thanh vòm HyperX 7.1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Theo dõi mic tích hợp sẵn – có trên HyperX Cloud II Wireless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Màng loa 53mm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Micro khử ồn có thể tháo rời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Khung nhôm độ bền cao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Tương thích với nhiều nền tảng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