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không dây Logitech G435 LightSpeed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Logitech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 – xanh lá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165 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Đeo đầu, chụp kín tai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Không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không dây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lượng pin : 18 giờ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Phụ kiện đi kèm: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G435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USB-A LIGHTSPEED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Dây cáp sạc USB-C tới USB-A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Tài liệu hướng dẫn sử dụng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Phạm vi kết nối : 10 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