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e696f8c40c6c1d247a7a3423c55aaf7b1e2f38b"/>
    <w:p>
      <w:pPr>
        <w:pStyle w:val="Heading1"/>
      </w:pPr>
      <w:r>
        <w:t xml:space="preserve">Semanário — Rafael Martins — 14 a 18/09/2026 — Semana A</w:t>
      </w:r>
    </w:p>
    <w:bookmarkStart w:id="9" w:name="identificação"/>
    <w:p>
      <w:pPr>
        <w:pStyle w:val="Heading2"/>
      </w:pPr>
      <w:r>
        <w:t xml:space="preserve">Identificação</w:t>
      </w:r>
    </w:p>
    <w:p>
      <w:pPr>
        <w:pStyle w:val="Compact"/>
        <w:numPr>
          <w:ilvl w:val="0"/>
          <w:numId w:val="1001"/>
        </w:numPr>
      </w:pPr>
      <w:r>
        <w:t xml:space="preserve">Ciclo: Semana A.</w:t>
      </w:r>
    </w:p>
    <w:p>
      <w:pPr>
        <w:pStyle w:val="Compact"/>
        <w:numPr>
          <w:ilvl w:val="0"/>
          <w:numId w:val="1001"/>
        </w:numPr>
      </w:pPr>
      <w:r>
        <w:t xml:space="preserve">Fonte: grade de horários e plano de conclusão do Fundamental 1.</w:t>
      </w:r>
    </w:p>
    <w:p>
      <w:pPr>
        <w:pStyle w:val="Compact"/>
        <w:numPr>
          <w:ilvl w:val="0"/>
          <w:numId w:val="1001"/>
        </w:numPr>
      </w:pPr>
      <w:r>
        <w:t xml:space="preserve">Regra: turmas sem registro recente recebem diagnóstico de no máximo 15 minutos; o conteúdo oficial compartilhado segue em seguida, com apoio pontual quando necessário.</w:t>
      </w:r>
    </w:p>
    <w:bookmarkEnd w:id="9"/>
    <w:bookmarkStart w:id="10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Atividade principal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3ºC</w:t>
            </w:r>
          </w:p>
        </w:tc>
        <w:tc>
          <w:tcPr/>
          <w:p>
            <w:pPr>
              <w:pStyle w:val="Compact"/>
            </w:pPr>
            <w:r>
              <w:t xml:space="preserve">15/09, 12:55–14:35</w:t>
            </w:r>
          </w:p>
        </w:tc>
        <w:tc>
          <w:tcPr/>
          <w:p>
            <w:pPr>
              <w:pStyle w:val="Compact"/>
            </w:pPr>
            <w:r>
              <w:t xml:space="preserve">O que é cor?</w:t>
            </w:r>
          </w:p>
        </w:tc>
        <w:tc>
          <w:tcPr/>
          <w:p>
            <w:pPr>
              <w:pStyle w:val="Compact"/>
            </w:pPr>
            <w:r>
              <w:t xml:space="preserve">Cores na natureza e Cores na arte</w:t>
            </w:r>
          </w:p>
        </w:tc>
        <w:tc>
          <w:tcPr/>
          <w:p>
            <w:pPr>
              <w:pStyle w:val="Compact"/>
            </w:pPr>
            <w:r>
              <w:t xml:space="preserve">pp. 108 e 126</w:t>
            </w:r>
          </w:p>
        </w:tc>
        <w:tc>
          <w:tcPr/>
          <w:p>
            <w:pPr>
              <w:pStyle w:val="Compact"/>
            </w:pPr>
            <w:r>
              <w:t xml:space="preserve">pp. 83 e 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1ºB</w:t>
            </w:r>
          </w:p>
        </w:tc>
        <w:tc>
          <w:tcPr/>
          <w:p>
            <w:pPr>
              <w:pStyle w:val="Compact"/>
            </w:pPr>
            <w:r>
              <w:t xml:space="preserve">15/09, 15:45–17:25</w:t>
            </w:r>
          </w:p>
        </w:tc>
        <w:tc>
          <w:tcPr/>
          <w:p>
            <w:pPr>
              <w:pStyle w:val="Compact"/>
            </w:pPr>
            <w:r>
              <w:t xml:space="preserve">Avião/Foguete</w:t>
            </w:r>
          </w:p>
        </w:tc>
        <w:tc>
          <w:tcPr/>
          <w:p>
            <w:pPr>
              <w:pStyle w:val="Compact"/>
            </w:pPr>
            <w:r>
              <w:t xml:space="preserve">Arraiá de robôs + Caça ao tesouro</w:t>
            </w:r>
          </w:p>
        </w:tc>
        <w:tc>
          <w:tcPr/>
          <w:p>
            <w:pPr>
              <w:pStyle w:val="Compact"/>
            </w:pPr>
            <w:r>
              <w:t xml:space="preserve">pp. 96 e 106</w:t>
            </w:r>
          </w:p>
        </w:tc>
        <w:tc>
          <w:tcPr/>
          <w:p>
            <w:pPr>
              <w:pStyle w:val="Compact"/>
            </w:pPr>
            <w:r>
              <w:t xml:space="preserve">pp. 5–22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5ºA</w:t>
            </w:r>
          </w:p>
        </w:tc>
        <w:tc>
          <w:tcPr/>
          <w:p>
            <w:pPr>
              <w:pStyle w:val="Compact"/>
            </w:pPr>
            <w:r>
              <w:t xml:space="preserve">18/09, 07:15–08:55</w:t>
            </w:r>
          </w:p>
        </w:tc>
        <w:tc>
          <w:tcPr/>
          <w:p>
            <w:pPr>
              <w:pStyle w:val="Compact"/>
            </w:pPr>
            <w:r>
              <w:t xml:space="preserve">Sistema digestório</w:t>
            </w:r>
          </w:p>
        </w:tc>
        <w:tc>
          <w:tcPr/>
          <w:p>
            <w:pPr>
              <w:pStyle w:val="Compact"/>
            </w:pPr>
            <w:r>
              <w:t xml:space="preserve">Sistema respiratório</w:t>
            </w:r>
          </w:p>
        </w:tc>
        <w:tc>
          <w:tcPr/>
          <w:p>
            <w:pPr>
              <w:pStyle w:val="Compact"/>
            </w:pPr>
            <w:r>
              <w:t xml:space="preserve">p. 222</w:t>
            </w:r>
          </w:p>
        </w:tc>
        <w:tc>
          <w:tcPr/>
          <w:p>
            <w:pPr>
              <w:pStyle w:val="Compact"/>
            </w:pPr>
            <w:r>
              <w:t xml:space="preserve">p. 185</w:t>
            </w:r>
          </w:p>
        </w:tc>
      </w:tr>
    </w:tbl>
    <w:bookmarkEnd w:id="10"/>
    <w:bookmarkStart w:id="11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 para preparar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Ficha do camaleão:</w:t>
            </w:r>
            <w:r>
              <w:t xml:space="preserve"> </w:t>
            </w:r>
            <w:r>
              <w:rPr>
                <w:b/>
                <w:bCs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1ºB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cópias da ficha do camaleão</w:t>
            </w:r>
          </w:p>
        </w:tc>
      </w:tr>
    </w:tbl>
    <w:bookmarkEnd w:id="11"/>
    <w:bookmarkStart w:id="15" w:name="planos-de-aula"/>
    <w:p>
      <w:pPr>
        <w:pStyle w:val="Heading2"/>
      </w:pPr>
      <w:r>
        <w:t xml:space="preserve">Planos de aula</w:t>
      </w:r>
    </w:p>
    <w:bookmarkStart w:id="12" w:name="ºc-1509-12551435"/>
    <w:p>
      <w:pPr>
        <w:pStyle w:val="Heading3"/>
      </w:pPr>
      <w:r>
        <w:t xml:space="preserve">3ºC — 15/09 — 12:55–14:35</w:t>
      </w:r>
    </w:p>
    <w:p>
      <w:pPr>
        <w:pStyle w:val="Compact"/>
        <w:numPr>
          <w:ilvl w:val="0"/>
          <w:numId w:val="1002"/>
        </w:numPr>
      </w:pPr>
      <w:r>
        <w:t xml:space="preserve">Objetivo: reconhecer a presença e o uso intencional das cores na natureza e na arte.</w:t>
      </w:r>
    </w:p>
    <w:p>
      <w:pPr>
        <w:pStyle w:val="Compact"/>
        <w:numPr>
          <w:ilvl w:val="0"/>
          <w:numId w:val="1002"/>
        </w:numPr>
      </w:pPr>
      <w:r>
        <w:t xml:space="preserve">Materiais: apostila, material de montagem da unidade, imagens de referência e materiais de registro.</w:t>
      </w:r>
    </w:p>
    <w:p>
      <w:pPr>
        <w:pStyle w:val="Compact"/>
        <w:numPr>
          <w:ilvl w:val="0"/>
          <w:numId w:val="1002"/>
        </w:numPr>
      </w:pPr>
      <w:r>
        <w:t xml:space="preserve">Diagnóstico: retomar os conceitos essenciais de “O que é cor?”.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 e 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Conferir caderno e identificar uma cor presente no ambiente.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Cores na natureza.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Cores na arte como experiência principal.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Compartilhar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Apresentar a escolha de cores da equipe.</w:t>
            </w:r>
          </w:p>
        </w:tc>
      </w:tr>
    </w:tbl>
    <w:bookmarkEnd w:id="12"/>
    <w:bookmarkStart w:id="13" w:name="ºb-1509-15451725"/>
    <w:p>
      <w:pPr>
        <w:pStyle w:val="Heading3"/>
      </w:pPr>
      <w:r>
        <w:t xml:space="preserve">1ºB — 15/09 — 15:45–17:25</w:t>
      </w:r>
    </w:p>
    <w:p>
      <w:pPr>
        <w:pStyle w:val="Compact"/>
        <w:numPr>
          <w:ilvl w:val="0"/>
          <w:numId w:val="1003"/>
        </w:numPr>
      </w:pPr>
      <w:r>
        <w:t xml:space="preserve">Objetivo: programar o Matata em uma narrativa, criando e corrigindo uma sequência de comandos.</w:t>
      </w:r>
    </w:p>
    <w:p>
      <w:pPr>
        <w:pStyle w:val="Compact"/>
        <w:numPr>
          <w:ilvl w:val="0"/>
          <w:numId w:val="1003"/>
        </w:numPr>
      </w:pPr>
      <w:r>
        <w:t xml:space="preserve">Materiais: Caderno 2, Matata, palco da imaginação ou tapete, elementos de cenário.</w:t>
      </w:r>
    </w:p>
    <w:p>
      <w:pPr>
        <w:pStyle w:val="Compact"/>
        <w:numPr>
          <w:ilvl w:val="0"/>
          <w:numId w:val="1003"/>
        </w:numPr>
      </w:pPr>
      <w:r>
        <w:t xml:space="preserve">Diagnóstico: retomar Avião/Foguete e os comandos essenciais do robô.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Apresentar a narrativa do Arraiá de robôs.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Programação guiada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Arraiá de robôs (professor p. 96; aluno pp. 5–14).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Desafio principal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Caça ao tesouro e operação salvamento (professor p. 106; aluno pp. 15–22).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Desenhar ou escrever a sequência que levou o robô ao objetivo.</w:t>
            </w:r>
          </w:p>
        </w:tc>
      </w:tr>
    </w:tbl>
    <w:bookmarkEnd w:id="13"/>
    <w:bookmarkStart w:id="14" w:name="ºa-1809-07150855"/>
    <w:p>
      <w:pPr>
        <w:pStyle w:val="Heading3"/>
      </w:pPr>
      <w:r>
        <w:t xml:space="preserve">5ºA — 18/09 — 07:15–08:55</w:t>
      </w:r>
    </w:p>
    <w:p>
      <w:pPr>
        <w:pStyle w:val="Compact"/>
        <w:numPr>
          <w:ilvl w:val="0"/>
          <w:numId w:val="1004"/>
        </w:numPr>
      </w:pPr>
      <w:r>
        <w:t xml:space="preserve">Objetivo: construir, testar e explicar um modelo relacionado ao sistema respiratório, associando respiração e troca de gases.</w:t>
      </w:r>
    </w:p>
    <w:p>
      <w:pPr>
        <w:pStyle w:val="Compact"/>
        <w:numPr>
          <w:ilvl w:val="0"/>
          <w:numId w:val="1004"/>
        </w:numPr>
      </w:pPr>
      <w:r>
        <w:t xml:space="preserve">Materiais: apostila, VinciBot ou material da atividade, peças de montagem e itens de teste previstos no manual.</w:t>
      </w:r>
    </w:p>
    <w:p>
      <w:pPr>
        <w:pStyle w:val="Compact"/>
        <w:numPr>
          <w:ilvl w:val="0"/>
          <w:numId w:val="1004"/>
        </w:numPr>
      </w:pPr>
      <w:r>
        <w:t xml:space="preserve">Diagnóstico: retomar os conceitos essenciais de Sistema digestório.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Conferir páginas e pedir que a turma explique a última montagem realizada.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Retomar a relação entre nutrição, digestão e respiração.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 e 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min</w:t>
            </w:r>
          </w:p>
        </w:tc>
        <w:tc>
          <w:tcPr/>
          <w:p>
            <w:pPr>
              <w:pStyle w:val="Compact"/>
            </w:pPr>
            <w:r>
              <w:t xml:space="preserve">Sistema respiratório (professor p. 222; aluno p. 185).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Registrar hipótese sobre inspiração e expiração.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Adaptação: se a turma estiver mais de uma unidade antes do marco, registrar a defasagem e organizar recuperação dirigida adicional; preservar Sistema respiratório como a aula oficial compartilhada da semana.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2026-09-03T17:31:20Z</dcterms:created>
  <dcterms:modified xsi:type="dcterms:W3CDTF">2026-09-03T17:31:20Z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