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ae49965b2ad081a8d9faf176be2b21e61607651"/>
    <w:p>
      <w:pPr>
        <w:pStyle w:val="Heading1"/>
      </w:pPr>
      <w:r>
        <w:t xml:space="preserve">Semanário — Ricardo Palhares — 28/09 a 02/10/2026 — Semana A</w:t>
      </w:r>
    </w:p>
    <w:bookmarkStart w:id="9" w:name="visão-da-semana"/>
    <w:p>
      <w:pPr>
        <w:pStyle w:val="Heading2"/>
      </w:pPr>
      <w:r>
        <w:t xml:space="preserve">Visão da semana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</w:pPr>
            <w:r>
              <w:t xml:space="preserve">Data / horário</w:t>
            </w:r>
          </w:p>
        </w:tc>
        <w:tc>
          <w:tcPr/>
          <w:p>
            <w:pPr>
              <w:pStyle w:val="Compact"/>
            </w:pPr>
            <w:r>
              <w:t xml:space="preserve">Conteúdo de partida</w:t>
            </w:r>
          </w:p>
        </w:tc>
        <w:tc>
          <w:tcPr/>
          <w:p>
            <w:pPr>
              <w:pStyle w:val="Compact"/>
            </w:pPr>
            <w:r>
              <w:t xml:space="preserve">Aula oficial</w:t>
            </w:r>
          </w:p>
        </w:tc>
        <w:tc>
          <w:tcPr/>
          <w:p>
            <w:pPr>
              <w:pStyle w:val="Compact"/>
            </w:pPr>
            <w:r>
              <w:t xml:space="preserve">Professor</w:t>
            </w:r>
          </w:p>
        </w:tc>
        <w:tc>
          <w:tcPr/>
          <w:p>
            <w:pPr>
              <w:pStyle w:val="Compact"/>
            </w:pPr>
            <w:r>
              <w:t xml:space="preserve">Aluno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2ºB</w:t>
            </w:r>
          </w:p>
        </w:tc>
        <w:tc>
          <w:tcPr/>
          <w:p>
            <w:pPr>
              <w:pStyle w:val="Compact"/>
            </w:pPr>
            <w:r>
              <w:t xml:space="preserve">30/09, 07:15–08:55</w:t>
            </w:r>
          </w:p>
        </w:tc>
        <w:tc>
          <w:tcPr/>
          <w:p>
            <w:pPr>
              <w:pStyle w:val="Compact"/>
            </w:pPr>
            <w:r>
              <w:t xml:space="preserve">Máquina de jogar futebol</w:t>
            </w:r>
          </w:p>
        </w:tc>
        <w:tc>
          <w:tcPr/>
          <w:p>
            <w:pPr>
              <w:pStyle w:val="Compact"/>
            </w:pPr>
            <w:r>
              <w:t xml:space="preserve">Máquina de desenhar</w:t>
            </w:r>
          </w:p>
        </w:tc>
        <w:tc>
          <w:tcPr/>
          <w:p>
            <w:pPr>
              <w:pStyle w:val="Compact"/>
            </w:pPr>
            <w:r>
              <w:t xml:space="preserve">p. 106</w:t>
            </w:r>
          </w:p>
        </w:tc>
        <w:tc>
          <w:tcPr/>
          <w:p>
            <w:pPr>
              <w:pStyle w:val="Compact"/>
            </w:pPr>
            <w:r>
              <w:t xml:space="preserve">pp. 17–24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5ºC</w:t>
            </w:r>
          </w:p>
        </w:tc>
        <w:tc>
          <w:tcPr/>
          <w:p>
            <w:pPr>
              <w:pStyle w:val="Compact"/>
            </w:pPr>
            <w:r>
              <w:t xml:space="preserve">30/09, 14:35–15:45</w:t>
            </w:r>
          </w:p>
        </w:tc>
        <w:tc>
          <w:tcPr/>
          <w:p>
            <w:pPr>
              <w:pStyle w:val="Compact"/>
            </w:pPr>
            <w:r>
              <w:t xml:space="preserve">Sistema respiratório</w:t>
            </w:r>
          </w:p>
        </w:tc>
        <w:tc>
          <w:tcPr/>
          <w:p>
            <w:pPr>
              <w:pStyle w:val="Compact"/>
            </w:pPr>
            <w:r>
              <w:t xml:space="preserve">Desafio de Bem-estar</w:t>
            </w:r>
          </w:p>
        </w:tc>
        <w:tc>
          <w:tcPr/>
          <w:p>
            <w:pPr>
              <w:pStyle w:val="Compact"/>
            </w:pPr>
            <w:r>
              <w:t xml:space="preserve">p. 234</w:t>
            </w:r>
          </w:p>
        </w:tc>
        <w:tc>
          <w:tcPr/>
          <w:p>
            <w:pPr>
              <w:pStyle w:val="Compact"/>
            </w:pPr>
            <w:r>
              <w:t xml:space="preserve">p. 195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2ºD</w:t>
            </w:r>
          </w:p>
        </w:tc>
        <w:tc>
          <w:tcPr/>
          <w:p>
            <w:pPr>
              <w:pStyle w:val="Compact"/>
            </w:pPr>
            <w:r>
              <w:t xml:space="preserve">30/09, 15:45–17:25</w:t>
            </w:r>
          </w:p>
        </w:tc>
        <w:tc>
          <w:tcPr/>
          <w:p>
            <w:pPr>
              <w:pStyle w:val="Compact"/>
            </w:pPr>
            <w:r>
              <w:t xml:space="preserve">Máquina de jogar futebol</w:t>
            </w:r>
          </w:p>
        </w:tc>
        <w:tc>
          <w:tcPr/>
          <w:p>
            <w:pPr>
              <w:pStyle w:val="Compact"/>
            </w:pPr>
            <w:r>
              <w:t xml:space="preserve">Máquina de desenhar</w:t>
            </w:r>
          </w:p>
        </w:tc>
        <w:tc>
          <w:tcPr/>
          <w:p>
            <w:pPr>
              <w:pStyle w:val="Compact"/>
            </w:pPr>
            <w:r>
              <w:t xml:space="preserve">p. 106</w:t>
            </w:r>
          </w:p>
        </w:tc>
        <w:tc>
          <w:tcPr/>
          <w:p>
            <w:pPr>
              <w:pStyle w:val="Compact"/>
            </w:pPr>
            <w:r>
              <w:t xml:space="preserve">pp. 17–24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5ºB</w:t>
            </w:r>
          </w:p>
        </w:tc>
        <w:tc>
          <w:tcPr/>
          <w:p>
            <w:pPr>
              <w:pStyle w:val="Compact"/>
            </w:pPr>
            <w:r>
              <w:t xml:space="preserve">01/10, 07:15–08:55</w:t>
            </w:r>
          </w:p>
        </w:tc>
        <w:tc>
          <w:tcPr/>
          <w:p>
            <w:pPr>
              <w:pStyle w:val="Compact"/>
            </w:pPr>
            <w:r>
              <w:t xml:space="preserve">Sistema respiratório</w:t>
            </w:r>
          </w:p>
        </w:tc>
        <w:tc>
          <w:tcPr/>
          <w:p>
            <w:pPr>
              <w:pStyle w:val="Compact"/>
            </w:pPr>
            <w:r>
              <w:t xml:space="preserve">Desafio de Bem-estar</w:t>
            </w:r>
          </w:p>
        </w:tc>
        <w:tc>
          <w:tcPr/>
          <w:p>
            <w:pPr>
              <w:pStyle w:val="Compact"/>
            </w:pPr>
            <w:r>
              <w:t xml:space="preserve">p. 234</w:t>
            </w:r>
          </w:p>
        </w:tc>
        <w:tc>
          <w:tcPr/>
          <w:p>
            <w:pPr>
              <w:pStyle w:val="Compact"/>
            </w:pPr>
            <w:r>
              <w:t xml:space="preserve">p. 195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2ºA</w:t>
            </w:r>
          </w:p>
        </w:tc>
        <w:tc>
          <w:tcPr/>
          <w:p>
            <w:pPr>
              <w:pStyle w:val="Compact"/>
            </w:pPr>
            <w:r>
              <w:t xml:space="preserve">01/10, 08:55–09:20 e 10:05–10:55</w:t>
            </w:r>
          </w:p>
        </w:tc>
        <w:tc>
          <w:tcPr/>
          <w:p>
            <w:pPr>
              <w:pStyle w:val="Compact"/>
            </w:pPr>
            <w:r>
              <w:t xml:space="preserve">Máquina de jogar futebol</w:t>
            </w:r>
          </w:p>
        </w:tc>
        <w:tc>
          <w:tcPr/>
          <w:p>
            <w:pPr>
              <w:pStyle w:val="Compact"/>
            </w:pPr>
            <w:r>
              <w:t xml:space="preserve">Máquina de desenhar</w:t>
            </w:r>
          </w:p>
        </w:tc>
        <w:tc>
          <w:tcPr/>
          <w:p>
            <w:pPr>
              <w:pStyle w:val="Compact"/>
            </w:pPr>
            <w:r>
              <w:t xml:space="preserve">p. 106</w:t>
            </w:r>
          </w:p>
        </w:tc>
        <w:tc>
          <w:tcPr/>
          <w:p>
            <w:pPr>
              <w:pStyle w:val="Compact"/>
            </w:pPr>
            <w:r>
              <w:t xml:space="preserve">pp. 17–24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4ºA</w:t>
            </w:r>
          </w:p>
        </w:tc>
        <w:tc>
          <w:tcPr/>
          <w:p>
            <w:pPr>
              <w:pStyle w:val="Compact"/>
            </w:pPr>
            <w:r>
              <w:t xml:space="preserve">01/10, 10:55–11:45</w:t>
            </w:r>
          </w:p>
        </w:tc>
        <w:tc>
          <w:tcPr/>
          <w:p>
            <w:pPr>
              <w:pStyle w:val="Compact"/>
            </w:pPr>
            <w:r>
              <w:t xml:space="preserve">Desafio de Instrumentos de Medida</w:t>
            </w:r>
          </w:p>
        </w:tc>
        <w:tc>
          <w:tcPr/>
          <w:p>
            <w:pPr>
              <w:pStyle w:val="Compact"/>
            </w:pPr>
            <w:r>
              <w:t xml:space="preserve">Máquina GBC</w:t>
            </w:r>
          </w:p>
        </w:tc>
        <w:tc>
          <w:tcPr/>
          <w:p>
            <w:pPr>
              <w:pStyle w:val="Compact"/>
            </w:pPr>
            <w:r>
              <w:t xml:space="preserve">p. 122</w:t>
            </w:r>
          </w:p>
        </w:tc>
        <w:tc>
          <w:tcPr/>
          <w:p>
            <w:pPr>
              <w:pStyle w:val="Compact"/>
            </w:pPr>
            <w:r>
              <w:t xml:space="preserve">p. 97</w:t>
            </w:r>
          </w:p>
        </w:tc>
      </w:tr>
    </w:tbl>
    <w:bookmarkEnd w:id="9"/>
    <w:bookmarkStart w:id="10" w:name="quantitativo-de-alunos-e-cópias"/>
    <w:p>
      <w:pPr>
        <w:pStyle w:val="Heading2"/>
      </w:pPr>
      <w:r>
        <w:t xml:space="preserve">Quantitativo de alunos e cópias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Alunos</w:t>
            </w:r>
          </w:p>
        </w:tc>
        <w:tc>
          <w:tcPr/>
          <w:p>
            <w:pPr>
              <w:pStyle w:val="Compact"/>
            </w:pPr>
            <w:r>
              <w:t xml:space="preserve">Cópias avulsas para preparar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2ºB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5ºC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2ºD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5ºB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2ºA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confirmar fichas avulsas por atividade</w:t>
            </w:r>
          </w:p>
        </w:tc>
      </w:tr>
    </w:tbl>
    <w:bookmarkEnd w:id="10"/>
    <w:bookmarkStart w:id="14" w:name="roteiros-compartilhados"/>
    <w:p>
      <w:pPr>
        <w:pStyle w:val="Heading2"/>
      </w:pPr>
      <w:r>
        <w:t xml:space="preserve">Roteiros compartilhados</w:t>
      </w:r>
    </w:p>
    <w:bookmarkStart w:id="11" w:name="º-ano-máquina-de-desenhar"/>
    <w:p>
      <w:pPr>
        <w:pStyle w:val="Heading3"/>
      </w:pPr>
      <w:r>
        <w:t xml:space="preserve">2º ano — Máquina de desenhar</w:t>
      </w:r>
    </w:p>
    <w:p>
      <w:pPr>
        <w:pStyle w:val="Compact"/>
        <w:numPr>
          <w:ilvl w:val="0"/>
          <w:numId w:val="1001"/>
        </w:numPr>
      </w:pPr>
      <w:r>
        <w:t xml:space="preserve">Objetivo: programar trajetos para formar desenhos e corrigir comandos a partir dos resultados.</w:t>
      </w:r>
    </w:p>
    <w:p>
      <w:pPr>
        <w:pStyle w:val="Compact"/>
        <w:numPr>
          <w:ilvl w:val="0"/>
          <w:numId w:val="1001"/>
        </w:numPr>
      </w:pPr>
      <w:r>
        <w:t xml:space="preserve">Referências: professor p. 106; aluno pp. 17–24.</w:t>
      </w:r>
    </w:p>
    <w:p>
      <w:pPr>
        <w:pStyle w:val="Compact"/>
        <w:numPr>
          <w:ilvl w:val="0"/>
          <w:numId w:val="1001"/>
        </w:numPr>
      </w:pPr>
      <w:r>
        <w:t xml:space="preserve">Materiais: Caderno 2, Matata, cartões de programação, folhas e canetões.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Retomada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Relembrar comandos usados na Máquina de jogar futebol.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min</w:t>
            </w:r>
          </w:p>
        </w:tc>
        <w:tc>
          <w:tcPr/>
          <w:p>
            <w:pPr>
              <w:pStyle w:val="Compact"/>
            </w:pPr>
            <w:r>
              <w:t xml:space="preserve">Realizar Máquina de desenhar.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min</w:t>
            </w:r>
          </w:p>
        </w:tc>
        <w:tc>
          <w:tcPr/>
          <w:p>
            <w:pPr>
              <w:pStyle w:val="Compact"/>
            </w:pPr>
            <w:r>
              <w:t xml:space="preserve">Criar um desenho, testar e corrigir a sequência.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Registrar o percurso e o comando que exigiu ajuste.</w:t>
            </w:r>
          </w:p>
        </w:tc>
      </w:tr>
    </w:tbl>
    <w:bookmarkEnd w:id="11"/>
    <w:bookmarkStart w:id="12" w:name="º-ano-máquina-gbc"/>
    <w:p>
      <w:pPr>
        <w:pStyle w:val="Heading3"/>
      </w:pPr>
      <w:r>
        <w:t xml:space="preserve">4º ano — Máquina GBC</w:t>
      </w:r>
    </w:p>
    <w:p>
      <w:pPr>
        <w:pStyle w:val="Compact"/>
        <w:numPr>
          <w:ilvl w:val="0"/>
          <w:numId w:val="1002"/>
        </w:numPr>
      </w:pPr>
      <w:r>
        <w:t xml:space="preserve">Objetivo: iniciar a construção de uma Máquina GBC e relacionar seus mecanismos ao transporte de objetos.</w:t>
      </w:r>
    </w:p>
    <w:p>
      <w:pPr>
        <w:pStyle w:val="Compact"/>
        <w:numPr>
          <w:ilvl w:val="0"/>
          <w:numId w:val="1002"/>
        </w:numPr>
      </w:pPr>
      <w:r>
        <w:t xml:space="preserve">Referências: professor p. 122; aluno p. 97.</w:t>
      </w:r>
    </w:p>
    <w:p>
      <w:pPr>
        <w:pStyle w:val="Compact"/>
        <w:numPr>
          <w:ilvl w:val="0"/>
          <w:numId w:val="1002"/>
        </w:numPr>
      </w:pPr>
      <w:r>
        <w:t xml:space="preserve">Materiais: apostila, peças de montagem e objetos pequenos para teste.</w:t>
      </w:r>
    </w:p>
    <w:p>
      <w:pPr>
        <w:pStyle w:val="Compact"/>
        <w:numPr>
          <w:ilvl w:val="0"/>
          <w:numId w:val="1002"/>
        </w:numPr>
      </w:pPr>
      <w:r>
        <w:t xml:space="preserve">Condução: retomada do desafio de medida; início da montagem; teste de um percurso; registro da função de uma peça. O encontro de 50 minutos do 4ºA inicia a mesma experiência do próximo ciclo B.</w:t>
      </w:r>
    </w:p>
    <w:bookmarkEnd w:id="12"/>
    <w:bookmarkStart w:id="13" w:name="º-ano-desafio-de-bem-estar"/>
    <w:p>
      <w:pPr>
        <w:pStyle w:val="Heading3"/>
      </w:pPr>
      <w:r>
        <w:t xml:space="preserve">5º ano — Desafio de Bem-estar</w:t>
      </w:r>
    </w:p>
    <w:p>
      <w:pPr>
        <w:pStyle w:val="Compact"/>
        <w:numPr>
          <w:ilvl w:val="0"/>
          <w:numId w:val="1003"/>
        </w:numPr>
      </w:pPr>
      <w:r>
        <w:t xml:space="preserve">Objetivo: aplicar o estudo do Sistema respiratório em uma investigação de bem-estar.</w:t>
      </w:r>
    </w:p>
    <w:p>
      <w:pPr>
        <w:pStyle w:val="Compact"/>
        <w:numPr>
          <w:ilvl w:val="0"/>
          <w:numId w:val="1003"/>
        </w:numPr>
      </w:pPr>
      <w:r>
        <w:t xml:space="preserve">Referências: professor p. 234; aluno p. 195.</w:t>
      </w:r>
    </w:p>
    <w:p>
      <w:pPr>
        <w:pStyle w:val="Compact"/>
        <w:numPr>
          <w:ilvl w:val="0"/>
          <w:numId w:val="1003"/>
        </w:numPr>
      </w:pPr>
      <w:r>
        <w:t xml:space="preserve">Materiais: apostila, registros do Sistema respiratório e material indicado no desafio.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Retomada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Relembrar o modelo respiratório e a troca de gases.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Desafio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min</w:t>
            </w:r>
          </w:p>
        </w:tc>
        <w:tc>
          <w:tcPr/>
          <w:p>
            <w:pPr>
              <w:pStyle w:val="Compact"/>
            </w:pPr>
            <w:r>
              <w:t xml:space="preserve">Realizar o Momento do desafio de Bem-estar em equipes.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Socializar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</w:pPr>
            <w:r>
              <w:t xml:space="preserve">Apresentar evidências e estratégias encontradas.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Registrar uma prática de bem-estar relacionada à respiração.</w:t>
            </w:r>
          </w:p>
        </w:tc>
      </w:tr>
    </w:tbl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2026-09-03T17:31:21Z</dcterms:created>
  <dcterms:modified xsi:type="dcterms:W3CDTF">2026-09-03T17:31:21Z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