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e696f8c40c6c1d247a7a3423c55aaf7b1e2f38b"/>
    <w:p>
      <w:pPr>
        <w:pStyle w:val="Heading1"/>
      </w:pPr>
      <w:r>
        <w:t xml:space="preserve">Semanário — Rafael Martins — 14 a 18/09/2026 — Semana A</w:t>
      </w:r>
    </w:p>
    <w:bookmarkStart w:id="9" w:name="identificação"/>
    <w:p>
      <w:pPr>
        <w:pStyle w:val="Heading2"/>
      </w:pPr>
      <w:r>
        <w:t xml:space="preserve">Identificação</w:t>
      </w:r>
    </w:p>
    <w:p>
      <w:pPr>
        <w:pStyle w:val="Compact"/>
        <w:numPr>
          <w:ilvl w:val="0"/>
          <w:numId w:val="1001"/>
        </w:numPr>
      </w:pPr>
      <w:r>
        <w:t xml:space="preserve">Ciclo: Semana A.</w:t>
      </w:r>
    </w:p>
    <w:p>
      <w:pPr>
        <w:pStyle w:val="Compact"/>
        <w:numPr>
          <w:ilvl w:val="0"/>
          <w:numId w:val="1001"/>
        </w:numPr>
      </w:pPr>
      <w:r>
        <w:t xml:space="preserve">Fonte: grade de horários e plano de conclusão do Fundamental 1.</w:t>
      </w:r>
    </w:p>
    <w:p>
      <w:pPr>
        <w:pStyle w:val="Compact"/>
        <w:numPr>
          <w:ilvl w:val="0"/>
          <w:numId w:val="1001"/>
        </w:numPr>
      </w:pPr>
      <w:r>
        <w:t xml:space="preserve">Regra: turmas sem registro recente recebem diagnóstico de no máximo 15 minutos; o conteúdo oficial compartilhado segue em seguida, com apoio pontual quando necessário.</w:t>
      </w:r>
    </w:p>
    <w:bookmarkEnd w:id="9"/>
    <w:bookmarkStart w:id="10" w:name="visão-da-semana"/>
    <w:p>
      <w:pPr>
        <w:pStyle w:val="Heading2"/>
      </w:pPr>
      <w:r>
        <w:t xml:space="preserve">Visão da semana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</w:pPr>
            <w:r>
              <w:t xml:space="preserve">Data / horário</w:t>
            </w:r>
          </w:p>
        </w:tc>
        <w:tc>
          <w:tcPr/>
          <w:p>
            <w:pPr>
              <w:pStyle w:val="Compact"/>
            </w:pPr>
            <w:r>
              <w:t xml:space="preserve">Conteúdo de partida</w:t>
            </w:r>
          </w:p>
        </w:tc>
        <w:tc>
          <w:tcPr/>
          <w:p>
            <w:pPr>
              <w:pStyle w:val="Compact"/>
            </w:pPr>
            <w:r>
              <w:t xml:space="preserve">Atividade principal</w:t>
            </w:r>
          </w:p>
        </w:tc>
        <w:tc>
          <w:tcPr/>
          <w:p>
            <w:pPr>
              <w:pStyle w:val="Compact"/>
            </w:pPr>
            <w:r>
              <w:t xml:space="preserve">Professor</w:t>
            </w:r>
          </w:p>
        </w:tc>
        <w:tc>
          <w:tcPr/>
          <w:p>
            <w:pPr>
              <w:pStyle w:val="Compact"/>
            </w:pPr>
            <w:r>
              <w:t xml:space="preserve">Aluno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</w:pPr>
            <w:r>
              <w:t xml:space="preserve">15/09, 12:55–14:35</w:t>
            </w:r>
          </w:p>
        </w:tc>
        <w:tc>
          <w:tcPr/>
          <w:p>
            <w:pPr>
              <w:pStyle w:val="Compact"/>
            </w:pPr>
            <w:r>
              <w:t xml:space="preserve">O que é cor?</w:t>
            </w:r>
          </w:p>
        </w:tc>
        <w:tc>
          <w:tcPr/>
          <w:p>
            <w:pPr>
              <w:pStyle w:val="Compact"/>
            </w:pPr>
            <w:r>
              <w:t xml:space="preserve">Cores na natureza e Cores na arte</w:t>
            </w:r>
          </w:p>
        </w:tc>
        <w:tc>
          <w:tcPr/>
          <w:p>
            <w:pPr>
              <w:pStyle w:val="Compact"/>
            </w:pPr>
            <w:r>
              <w:t xml:space="preserve">pp. 108 e 126</w:t>
            </w:r>
          </w:p>
        </w:tc>
        <w:tc>
          <w:tcPr/>
          <w:p>
            <w:pPr>
              <w:pStyle w:val="Compact"/>
            </w:pPr>
            <w:r>
              <w:t xml:space="preserve">pp. 83 e 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</w:pPr>
            <w:r>
              <w:t xml:space="preserve">15/09, 15:45–17:25</w:t>
            </w:r>
          </w:p>
        </w:tc>
        <w:tc>
          <w:tcPr/>
          <w:p>
            <w:pPr>
              <w:pStyle w:val="Compact"/>
            </w:pPr>
            <w:r>
              <w:t xml:space="preserve">Avião/Foguete</w:t>
            </w:r>
          </w:p>
        </w:tc>
        <w:tc>
          <w:tcPr/>
          <w:p>
            <w:pPr>
              <w:pStyle w:val="Compact"/>
            </w:pPr>
            <w:r>
              <w:t xml:space="preserve">Arraiá de robôs + Caça ao tesouro</w:t>
            </w:r>
          </w:p>
        </w:tc>
        <w:tc>
          <w:tcPr/>
          <w:p>
            <w:pPr>
              <w:pStyle w:val="Compact"/>
            </w:pPr>
            <w:r>
              <w:t xml:space="preserve">pp. 96 e 106</w:t>
            </w:r>
          </w:p>
        </w:tc>
        <w:tc>
          <w:tcPr/>
          <w:p>
            <w:pPr>
              <w:pStyle w:val="Compact"/>
            </w:pPr>
            <w:r>
              <w:t xml:space="preserve">pp. 5–22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</w:pPr>
            <w:r>
              <w:t xml:space="preserve">18/09, 07:15–08:55</w:t>
            </w:r>
          </w:p>
        </w:tc>
        <w:tc>
          <w:tcPr/>
          <w:p>
            <w:pPr>
              <w:pStyle w:val="Compact"/>
            </w:pPr>
            <w:r>
              <w:t xml:space="preserve">Sistema digestório</w:t>
            </w:r>
          </w:p>
        </w:tc>
        <w:tc>
          <w:tcPr/>
          <w:p>
            <w:pPr>
              <w:pStyle w:val="Compact"/>
            </w:pPr>
            <w:r>
              <w:t xml:space="preserve">Sistema respiratório</w:t>
            </w:r>
          </w:p>
        </w:tc>
        <w:tc>
          <w:tcPr/>
          <w:p>
            <w:pPr>
              <w:pStyle w:val="Compact"/>
            </w:pPr>
            <w:r>
              <w:t xml:space="preserve">p. 222</w:t>
            </w:r>
          </w:p>
        </w:tc>
        <w:tc>
          <w:tcPr/>
          <w:p>
            <w:pPr>
              <w:pStyle w:val="Compact"/>
            </w:pPr>
            <w:r>
              <w:t xml:space="preserve">p. 185</w:t>
            </w:r>
          </w:p>
        </w:tc>
      </w:tr>
    </w:tbl>
    <w:bookmarkEnd w:id="10"/>
    <w:bookmarkStart w:id="11" w:name="quantitativo-de-alunos-e-cópias"/>
    <w:p>
      <w:pPr>
        <w:pStyle w:val="Heading2"/>
      </w:pPr>
      <w:r>
        <w:t xml:space="preserve">Quantitativo de alunos e cópias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Turma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Alunos</w:t>
            </w:r>
          </w:p>
        </w:tc>
        <w:tc>
          <w:tcPr/>
          <w:p>
            <w:pPr>
              <w:pStyle w:val="Compact"/>
            </w:pPr>
            <w:r>
              <w:t xml:space="preserve">Cópias avulsas para preparar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3ºC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Ficha do camaleão:</w:t>
            </w:r>
            <w:r>
              <w:t xml:space="preserve"> </w:t>
            </w:r>
            <w:r>
              <w:rPr>
                <w:b/>
                <w:bCs/>
              </w:rP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1ºB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5ºA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 especificar no material da aula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cópias da ficha do camaleão</w:t>
            </w:r>
          </w:p>
        </w:tc>
      </w:tr>
    </w:tbl>
    <w:bookmarkEnd w:id="11"/>
    <w:bookmarkStart w:id="15" w:name="planos-de-aula"/>
    <w:p>
      <w:pPr>
        <w:pStyle w:val="Heading2"/>
      </w:pPr>
      <w:r>
        <w:t xml:space="preserve">Planos de aula</w:t>
      </w:r>
    </w:p>
    <w:bookmarkStart w:id="12" w:name="ºc-1509-12551435"/>
    <w:p>
      <w:pPr>
        <w:pStyle w:val="Heading3"/>
      </w:pPr>
      <w:r>
        <w:t xml:space="preserve">3ºC — 15/09 — 12:55–14:35</w:t>
      </w:r>
    </w:p>
    <w:p>
      <w:pPr>
        <w:pStyle w:val="Compact"/>
        <w:numPr>
          <w:ilvl w:val="0"/>
          <w:numId w:val="1002"/>
        </w:numPr>
      </w:pPr>
      <w:r>
        <w:t xml:space="preserve">Objetivo: reconhecer a presença e o uso intencional das cores na natureza e na arte.</w:t>
      </w:r>
    </w:p>
    <w:p>
      <w:pPr>
        <w:pStyle w:val="Compact"/>
        <w:numPr>
          <w:ilvl w:val="0"/>
          <w:numId w:val="1002"/>
        </w:numPr>
      </w:pPr>
      <w:r>
        <w:t xml:space="preserve">Materiais: apostila, material de montagem da unidade, imagens de referência e materiais de registro.</w:t>
      </w:r>
    </w:p>
    <w:p>
      <w:pPr>
        <w:pStyle w:val="Compact"/>
        <w:numPr>
          <w:ilvl w:val="0"/>
          <w:numId w:val="1002"/>
        </w:numPr>
      </w:pPr>
      <w:r>
        <w:t xml:space="preserve">Diagnóstico: retomar os conceitos essenciais de “O que é cor?”.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 e retomada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Conferir caderno e identificar uma cor presente no ambiente.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 min</w:t>
            </w:r>
          </w:p>
        </w:tc>
        <w:tc>
          <w:tcPr/>
          <w:p>
            <w:pPr>
              <w:pStyle w:val="Compact"/>
            </w:pPr>
            <w:r>
              <w:t xml:space="preserve">Cores na natureza.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Cores na arte como experiência principal.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Compartilhar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Apresentar a escolha de cores da equipe.</w:t>
            </w:r>
          </w:p>
        </w:tc>
      </w:tr>
    </w:tbl>
    <w:bookmarkEnd w:id="12"/>
    <w:bookmarkStart w:id="13" w:name="ºb-1509-15451725"/>
    <w:p>
      <w:pPr>
        <w:pStyle w:val="Heading4"/>
      </w:pPr>
      <w:r>
        <w:t>Resumo do Encontro</w:t>
      </w:r>
    </w:p>
    <w:p>
      <w:pPr/>
      <w:r>
        <w:t>Mensagem de rotina para as famílias: Hoje a turma explorou as cores presentes na natureza e na arte. As crianças observaram referências, conversaram sobre combinações e contrastes e fizeram escolhas de cor em suas criações. Ao compartilhar as produções, puderam explicar suas ideias e valorizar diferentes formas de olhar para o mundo.</w:t>
      </w:r>
    </w:p>
    <w:p>
      <w:pPr>
        <w:pStyle w:val="Heading3"/>
      </w:pPr>
      <w:r>
        <w:t xml:space="preserve">1ºB — 15/09 — 15:45–17:25</w:t>
      </w:r>
    </w:p>
    <w:p>
      <w:pPr>
        <w:pStyle w:val="Compact"/>
        <w:numPr>
          <w:ilvl w:val="0"/>
          <w:numId w:val="1003"/>
        </w:numPr>
      </w:pPr>
      <w:r>
        <w:t xml:space="preserve">Objetivo: programar o Matata em uma narrativa, criando e corrigindo uma sequência de comandos.</w:t>
      </w:r>
    </w:p>
    <w:p>
      <w:pPr>
        <w:pStyle w:val="Compact"/>
        <w:numPr>
          <w:ilvl w:val="0"/>
          <w:numId w:val="1003"/>
        </w:numPr>
      </w:pPr>
      <w:r>
        <w:t xml:space="preserve">Materiais: Caderno 2, Matata, palco da imaginação ou tapete, elementos de cenário.</w:t>
      </w:r>
    </w:p>
    <w:p>
      <w:pPr>
        <w:pStyle w:val="Compact"/>
        <w:numPr>
          <w:ilvl w:val="0"/>
          <w:numId w:val="1003"/>
        </w:numPr>
      </w:pPr>
      <w:r>
        <w:t xml:space="preserve">Diagnóstico: retomar Avião/Foguete e os comandos essenciais do robô.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Apresentar a narrativa do Arraiá de robôs.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Programação guiada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</w:pPr>
            <w:r>
              <w:t xml:space="preserve">Arraiá de robôs (professor p. 96; aluno pp. 5–14).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Desafio principal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min</w:t>
            </w:r>
          </w:p>
        </w:tc>
        <w:tc>
          <w:tcPr/>
          <w:p>
            <w:pPr>
              <w:pStyle w:val="Compact"/>
            </w:pPr>
            <w:r>
              <w:t xml:space="preserve">Caça ao tesouro e operação salvamento (professor p. 106; aluno pp. 15–22).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Desenhar ou escrever a sequência que levou o robô ao objetivo.</w:t>
            </w:r>
          </w:p>
        </w:tc>
      </w:tr>
    </w:tbl>
    <w:bookmarkEnd w:id="13"/>
    <w:bookmarkStart w:id="14" w:name="ºa-1809-07150855"/>
    <w:p>
      <w:pPr>
        <w:pStyle w:val="Heading4"/>
      </w:pPr>
      <w:r>
        <w:t>Resumo do Encontro</w:t>
      </w:r>
    </w:p>
    <w:p>
      <w:pPr/>
      <w:r>
        <w:t>Mensagem de rotina para as famílias: Hoje a turma programou o Matata em uma narrativa de robótica. As crianças imaginaram a história, organizaram uma sequência de comandos, testaram o percurso do robô e corrigiram o que foi necessário para a narrativa acontecer. A proposta desenvolveu pensamento computacional, criatividade e colaboração.</w:t>
      </w:r>
    </w:p>
    <w:p>
      <w:pPr>
        <w:pStyle w:val="Heading3"/>
      </w:pPr>
      <w:r>
        <w:t xml:space="preserve">5ºA — 18/09 — 07:15–08:55</w:t>
      </w:r>
    </w:p>
    <w:p>
      <w:pPr>
        <w:pStyle w:val="Compact"/>
        <w:numPr>
          <w:ilvl w:val="0"/>
          <w:numId w:val="1004"/>
        </w:numPr>
      </w:pPr>
      <w:r>
        <w:t xml:space="preserve">Objetivo: construir, testar e explicar um modelo relacionado ao sistema respiratório, associando respiração e troca de gases.</w:t>
      </w:r>
    </w:p>
    <w:p>
      <w:pPr>
        <w:pStyle w:val="Compact"/>
        <w:numPr>
          <w:ilvl w:val="0"/>
          <w:numId w:val="1004"/>
        </w:numPr>
      </w:pPr>
      <w:r>
        <w:t xml:space="preserve">Materiais: apostila, VinciBot ou material da atividade, peças de montagem e itens de teste previstos no manual.</w:t>
      </w:r>
    </w:p>
    <w:p>
      <w:pPr>
        <w:pStyle w:val="Compact"/>
        <w:numPr>
          <w:ilvl w:val="0"/>
          <w:numId w:val="1004"/>
        </w:numPr>
      </w:pPr>
      <w:r>
        <w:t xml:space="preserve">Diagnóstico: retomar os conceitos essenciais de Sistema digestório.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Tempo</w:t>
            </w:r>
          </w:p>
        </w:tc>
        <w:tc>
          <w:tcPr/>
          <w:p>
            <w:pPr>
              <w:pStyle w:val="Compact"/>
            </w:pPr>
            <w:r>
              <w:t xml:space="preserve">Condução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Conferir páginas e pedir que a turma explique a última montagem realizada.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Investigar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Retomar a relação entre nutrição, digestão e respiração.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Construir e testar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 min</w:t>
            </w:r>
          </w:p>
        </w:tc>
        <w:tc>
          <w:tcPr/>
          <w:p>
            <w:pPr>
              <w:pStyle w:val="Compact"/>
            </w:pPr>
            <w:r>
              <w:t xml:space="preserve">Sistema respiratório (professor p. 222; aluno p. 185).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Registrar hipótese sobre inspiração e expiração.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t xml:space="preserve">Adaptação: se a turma estiver mais de uma unidade antes do marco, registrar a defasagem e organizar recuperação dirigida adicional; preservar Sistema respiratório como a aula oficial compartilhada da semana.</w:t>
      </w:r>
    </w:p>
    <w:bookmarkEnd w:id="14"/>
    <w:bookmarkEnd w:id="15"/>
    <w:bookmarkEnd w:id="16"/>
    <w:p>
      <w:pPr>
        <w:pStyle w:val="Heading4"/>
      </w:pPr>
      <w:r>
        <w:t>Resumo do Encontro</w:t>
      </w:r>
    </w:p>
    <w:p>
      <w:pPr/>
      <w:r>
        <w:t>Mensagem de rotina para as famílias: Hoje a turma construiu e testou um modelo do sistema respiratório. Ao observar o funcionamento da montagem, as crianças relacionaram inspiração, expiração e troca de gases ao que acontece em nosso corpo. A investigação tornou o conteúdo de Ciências mais concreto e estimulou perguntas e explicações da turma.</w:t>
      </w:r>
    </w:p>
    <w:p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2026-09-03T17:31:20Z</dcterms:created>
  <dcterms:modified xsi:type="dcterms:W3CDTF">2026-09-03T17:31:20Z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