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bookmarkStart w:id="18" w:name="Xfa5e9f79eaa8848bc2f50ae87ebd6c9594f1c0b"/>
    <w:p>
      <w:pPr>
        <w:pStyle w:val="Heading1"/>
      </w:pPr>
      <w:r>
        <w:t xml:space="preserve">Semanário — Rafael Martins — 28/09 a 02/10/2026 — Semana A</w:t>
      </w:r>
    </w:p>
    <w:bookmarkStart w:id="9" w:name="visão-da-semana"/>
    <w:p>
      <w:pPr>
        <w:pStyle w:val="Heading2"/>
      </w:pPr>
      <w:r>
        <w:t xml:space="preserve">Visão da semana</w:t>
      </w:r>
    </w:p>
    <w:p>
      <w:pPr>
        <w:pStyle w:val="BlockText"/>
      </w:pPr>
      <w:r>
        <w:rPr>
          <w:b/>
          <w:bCs/>
        </w:rPr>
        <w:t xml:space="preserve">Orientação temporária da retomada:</w:t>
      </w:r>
      <w:r>
        <w:t xml:space="preserve"> </w:t>
      </w:r>
      <w:r>
        <w:t xml:space="preserve">priorizar propostas com construção, montagem, experimentação e teste para recuperar o vínculo dos estudantes com a experiência prática nas aulas de Tecnologia. É uma prioridade desta fase, não uma regra curricular permanente.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</w:pPr>
            <w:r>
              <w:t xml:space="preserve">29/09, 12:5514:35</w:t>
            </w:r>
          </w:p>
        </w:tc>
        <w:tc>
          <w:tcPr/>
          <w:p>
            <w:pPr>
              <w:pStyle w:val="Compact"/>
            </w:pPr>
            <w:r>
              <w:t xml:space="preserve">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Desafio de Cores + Robô batedor de asas</w:t>
            </w:r>
          </w:p>
        </w:tc>
        <w:tc>
          <w:tcPr/>
          <w:p>
            <w:pPr>
              <w:pStyle w:val="Compact"/>
            </w:pPr>
            <w:r>
              <w:t xml:space="preserve">pp. 140 e 164</w:t>
            </w:r>
          </w:p>
        </w:tc>
        <w:tc>
          <w:tcPr/>
          <w:p>
            <w:pPr>
              <w:pStyle w:val="Compact"/>
            </w:pPr>
            <w:r>
              <w:t xml:space="preserve">pp. 111 e 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</w:pPr>
            <w:r>
              <w:t xml:space="preserve">29/09, 15:4517:25</w:t>
            </w:r>
          </w:p>
        </w:tc>
        <w:tc>
          <w:tcPr/>
          <w:p>
            <w:pPr>
              <w:pStyle w:val="Compact"/>
            </w:pPr>
            <w:r>
              <w:t xml:space="preserve">Arraiá de robôs + Caça ao tesouro</w:t>
            </w:r>
          </w:p>
        </w:tc>
        <w:tc>
          <w:tcPr/>
          <w:p>
            <w:pPr>
              <w:pStyle w:val="Compact"/>
            </w:pPr>
            <w:r>
              <w:t xml:space="preserve">Carros malucos + Desfile de carros malucos</w:t>
            </w:r>
          </w:p>
        </w:tc>
        <w:tc>
          <w:tcPr/>
          <w:p>
            <w:pPr>
              <w:pStyle w:val="Compact"/>
            </w:pPr>
            <w:r>
              <w:t xml:space="preserve">pp. 112 e 118</w:t>
            </w:r>
          </w:p>
        </w:tc>
        <w:tc>
          <w:tcPr/>
          <w:p>
            <w:pPr>
              <w:pStyle w:val="Compact"/>
            </w:pPr>
            <w:r>
              <w:t xml:space="preserve">pp. 23–36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</w:pPr>
            <w:r>
              <w:t xml:space="preserve">02/10, 07:1508:55</w:t>
            </w:r>
          </w:p>
        </w:tc>
        <w:tc>
          <w:tcPr/>
          <w:p>
            <w:pPr>
              <w:pStyle w:val="Compact"/>
            </w:pPr>
            <w:r>
              <w:t xml:space="preserve">Sistema respiratório</w:t>
            </w:r>
          </w:p>
        </w:tc>
        <w:tc>
          <w:tcPr/>
          <w:p>
            <w:pPr>
              <w:pStyle w:val="Compact"/>
            </w:pPr>
            <w:r>
              <w:t xml:space="preserve">Código Morse</w:t>
            </w:r>
          </w:p>
        </w:tc>
        <w:tc>
          <w:tcPr/>
          <w:p>
            <w:pPr>
              <w:pStyle w:val="Compact"/>
            </w:pPr>
            <w:r>
              <w:t xml:space="preserve">p. 240</w:t>
            </w:r>
          </w:p>
        </w:tc>
        <w:tc>
          <w:tcPr/>
          <w:p>
            <w:pPr>
              <w:pStyle w:val="Compact"/>
            </w:pPr>
            <w:r>
              <w:t xml:space="preserve">pp. 4–14</w:t>
            </w:r>
          </w:p>
        </w:tc>
      </w:tr>
    </w:tbl>
    <w:bookmarkEnd w:id="9"/>
    <w:bookmarkStart w:id="10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 para preparar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confirmar fichas avulsas por atividade</w:t>
            </w:r>
          </w:p>
        </w:tc>
      </w:tr>
    </w:tbl>
    <w:bookmarkEnd w:id="10"/>
    <w:bookmarkStart w:id="17" w:name="roteiros-compartilhados"/>
    <w:p>
      <w:pPr>
        <w:pStyle w:val="Heading2"/>
      </w:pPr>
      <w:r>
        <w:t xml:space="preserve">Roteiros compartilhados</w:t>
      </w:r>
    </w:p>
    <w:bookmarkStart w:id="12" w:name="X7ad27b13fcb3eff8512c6fbcb784535b6d01af2"/>
    <w:p>
      <w:pPr>
        <w:pStyle w:val="Heading3"/>
      </w:pPr>
      <w:r>
        <w:t xml:space="preserve">1º ano — Carros malucos + Desfile</w:t>
      </w:r>
    </w:p>
    <w:p>
      <w:pPr>
        <w:pStyle w:val="Compact"/>
        <w:numPr>
          <w:ilvl w:val="0"/>
          <w:numId w:val="1001"/>
        </w:numPr>
      </w:pPr>
      <w:r>
        <w:t xml:space="preserve">Objetivo: programar, testar e apresentar um carro maluco em uma pista criada pela turma.</w:t>
      </w:r>
    </w:p>
    <w:p>
      <w:pPr>
        <w:pStyle w:val="Compact"/>
        <w:numPr>
          <w:ilvl w:val="0"/>
          <w:numId w:val="1001"/>
        </w:numPr>
      </w:pPr>
      <w:r>
        <w:t xml:space="preserve">Referências: professor pp. 112 e 118; aluno pp. 23–36.</w:t>
      </w:r>
    </w:p>
    <w:p>
      <w:pPr>
        <w:pStyle w:val="Compact"/>
        <w:numPr>
          <w:ilvl w:val="0"/>
          <w:numId w:val="1001"/>
        </w:numPr>
      </w:pPr>
      <w:r>
        <w:t xml:space="preserve">Condução: retomada de comandos; Carros malucos; preparação e teste do Desfile; apresentação e registro do ajuste principal.</w:t>
      </w:r>
    </w:p>
    <w:bookmarkStart w:id="11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criou e programou um carro maluco para percorrer uma pista elaborada coletivamente. As crianças planejaram trajetos, organizaram os comandos, testaram as sequências e ajustaram a programação até que o carro cumprisse o desafio. No desfile final, puderam apresentar suas soluções e celebrar as descobertas da turma.</w:t>
      </w:r>
    </w:p>
    <w:bookmarkEnd w:id="11"/>
    <w:bookmarkEnd w:id="12"/>
    <w:bookmarkStart w:id="14" w:name="Xd9b8ede5316a7bfbe71dc4813b079d794beeb98"/>
    <w:p>
      <w:pPr>
        <w:pStyle w:val="Heading3"/>
      </w:pPr>
      <w:r>
        <w:t xml:space="preserve">3º ano — Desafio de Cores + Robô batedor de asas</w:t>
      </w:r>
    </w:p>
    <w:p>
      <w:pPr>
        <w:pStyle w:val="Compact"/>
        <w:numPr>
          <w:ilvl w:val="0"/>
          <w:numId w:val="1002"/>
        </w:numPr>
      </w:pPr>
      <w:r>
        <w:t xml:space="preserve">Objetivo: aplicar conhecimentos sobre cores e construir/testar o mecanismo de asas.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140 e 164; aluno pp. 111 e 131.</w:t>
      </w:r>
    </w:p>
    <w:p>
      <w:pPr>
        <w:pStyle w:val="Compact"/>
        <w:numPr>
          <w:ilvl w:val="0"/>
          <w:numId w:val="1002"/>
        </w:numPr>
      </w:pPr>
      <w:r>
        <w:t xml:space="preserve">Condução: retomada de cores; desafio; montagem e teste do robô; registro de como o movimento é produzido.</w:t>
      </w:r>
    </w:p>
    <w:bookmarkStart w:id="13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retomou os estudos sobre cores e construiu o Robô batedor de asas. Durante a montagem, as crianças observaram como as peças formam um mecanismo, testaram o movimento das asas e fizeram ajustes quando necessário. A atividade uniu investigação, criatividade e trabalho em equipe.</w:t>
      </w:r>
    </w:p>
    <w:bookmarkEnd w:id="13"/>
    <w:bookmarkEnd w:id="14"/>
    <w:bookmarkStart w:id="16" w:name="X1d418c6c0466c58158bb212ba047c088e64e05b"/>
    <w:p>
      <w:pPr>
        <w:pStyle w:val="Heading3"/>
      </w:pPr>
      <w:r>
        <w:t xml:space="preserve">5ºA — Código Morse (02/10, 07:1508:55)</w:t>
      </w:r>
    </w:p>
    <w:p>
      <w:pPr>
        <w:pStyle w:val="Compact"/>
        <w:numPr>
          <w:ilvl w:val="0"/>
          <w:numId w:val="1003"/>
        </w:numPr>
      </w:pPr>
      <w:r>
        <w:t xml:space="preserve">Objetivo: construir e programar, em equipe, um protótipo de telégrafo digital para enviar e receber mensagens em código Morse.</w:t>
      </w:r>
    </w:p>
    <w:p>
      <w:pPr>
        <w:pStyle w:val="Compact"/>
        <w:numPr>
          <w:ilvl w:val="0"/>
          <w:numId w:val="1003"/>
        </w:numPr>
      </w:pPr>
      <w:r>
        <w:t xml:space="preserve">Referências: Manual do Educador, p. 240; guia/material do estudante, pp. 4–14.</w:t>
      </w:r>
    </w:p>
    <w:p>
      <w:pPr>
        <w:pStyle w:val="Compact"/>
        <w:numPr>
          <w:ilvl w:val="0"/>
          <w:numId w:val="1003"/>
        </w:numPr>
      </w:pPr>
      <w:r>
        <w:t xml:space="preserve">Materiais: Conjunto de Blocos e Mecanismos Motorizados, VinciBot, computador ou tablet e guia da montagem.</w:t>
      </w:r>
      <w:r>
        <w:t xml:space="preserve"> </w:t>
      </w:r>
      <w:r>
        <w:rPr>
          <w:b/>
          <w:bCs/>
        </w:rPr>
        <w:t xml:space="preserve">Disponibilidade física a confirmar antes da aula:</w:t>
      </w:r>
      <w:r>
        <w:t xml:space="preserve"> </w:t>
      </w:r>
      <w:r>
        <w:t xml:space="preserve">o repositório não confirma a quantidade de kits, VinciBots e dispositivos disponível para as equipes.</w:t>
      </w:r>
    </w:p>
    <w:p>
      <w:pPr>
        <w:pStyle w:val="Compact"/>
        <w:numPr>
          <w:ilvl w:val="0"/>
          <w:numId w:val="1003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Experiência maker / tecnológica central</w:t>
      </w:r>
      <w:r>
        <w:t xml:space="preserve">. O núcleo combina montagem do protótipo, programação emissora/receptora, transmissão, decodificação, teste e ajuste.</w:t>
      </w:r>
    </w:p>
    <w:p>
      <w:pPr>
        <w:pStyle w:val="Compact"/>
        <w:numPr>
          <w:ilvl w:val="0"/>
          <w:numId w:val="1003"/>
        </w:numPr>
      </w:pPr>
      <w:r>
        <w:t xml:space="preserve">Duração: encontro de 100 min conforme a grade. O tempo permite realizar a montagem, a programação inicial e o primeiro ciclo de comunicação; o Teste 2 pode continuar em encontro posterior, se necessário.</w:t>
      </w:r>
    </w:p>
    <w:p>
      <w:pPr>
        <w:pStyle w:val="Compact"/>
        <w:numPr>
          <w:ilvl w:val="0"/>
          <w:numId w:val="1003"/>
        </w:numPr>
      </w:pPr>
      <w:r>
        <w:t xml:space="preserve">Sequência curricular: Código Morse inicia a unidade Meios de Comunicação e não depende do Desafio de Bem-estar.</w:t>
      </w:r>
      <w:r>
        <w:t xml:space="preserve"> </w:t>
      </w:r>
      <w:r>
        <w:rPr>
          <w:b/>
          <w:bCs/>
        </w:rPr>
        <w:t xml:space="preserve">Bem-estar é atividade deslocada, pendente de reposicionamento no próximo semanário; não foi eliminada do currículo.</w:t>
      </w:r>
    </w:p>
    <w:p>
      <w:r>
        <w:br w:type="page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brevemente o sistema respiratório e apresentar a mudança para Meios de Comunicação, com telégrafo, pontos e traços.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Formar pares de equipes emissora/receptora, conferir os materiais e identificar o papel de cada VinciBot.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Construir o protótipo de telégrafo digital com o guia oficial.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Criar as programações inicial de emissão e recepção dos sinais de ponto e traço.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e depurar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Executar o Teste 1: enviar, receber e decodificar uma mensagem simples; identificar falhas e ajustar a programação.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Registrar o ajuste realizado e o ponto de continuidade para o Teste 2, caso ele não tenha sido concluído.</w:t>
            </w:r>
          </w:p>
        </w:tc>
      </w:tr>
    </w:tbl>
    <w:bookmarkStart w:id="15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construiu e programou um protótipo de telégrafo digital com o VinciBot. As equipes enviaram e receberam mensagens em código Morse, observaram se os sinais eram compreendidos e ajustaram a programação quando necessário.</w:t>
      </w:r>
    </w:p>
    <w:bookmarkEnd w:id="15"/>
    <w:bookmarkEnd w:id="16"/>
    <w:bookmarkEnd w:id="17"/>
    <w:bookmarkEnd w:id="18"/>
    <w:sectPr>
      <w:pgSz w:h="15840" w:orient="portrait" w:w="12240"/>
      <w:pgMar w:bottom="1440" w:footer="360" w:header="36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styleId="Heading5" w:type="paragraph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styleId="Heading6" w:type="paragraph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styleId="Title" w:type="paragraph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BodyText" w:type="paragraph">
    <w:name w:val="Body Text"/>
    <w:basedOn w:val="Normal"/>
    <w:link w:val="BodyTextChar"/>
    <w:qFormat w:val="1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 w:val="1"/>
  </w:style>
  <w:style w:customStyle="1" w:styleId="Compact" w:type="paragraph">
    <w:name w:val="Compact"/>
    <w:basedOn w:val="BodyText"/>
    <w:qFormat w:val="1"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0000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styleId="Date" w:type="paragraph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customStyle="1" w:styleId="Abstract" w:type="paragraph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 w:val="1"/>
    <w:pPr/>
    <w:rPr/>
  </w:style>
  <w:style w:styleId="Heading7" w:type="paragraph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themeColor="text1" w:themeTint="0000A6" w:val="595959"/>
    </w:rPr>
  </w:style>
  <w:style w:styleId="Heading8" w:type="paragraph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themeColor="text1" w:themeTint="0000D8" w:val="272727"/>
    </w:rPr>
  </w:style>
  <w:style w:styleId="Heading9" w:type="paragraph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themeColor="text1" w:themeTint="0000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0000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themeColor="accent1" w:themeShade="0000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themeColor="accent1" w:themeShade="0000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themeColor="accent1" w:themeShade="0000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themeColor="accent1" w:themeShade="0000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themeColor="text1" w:themeTint="0000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themeColor="text1" w:themeTint="0000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themeColor="text1" w:themeTint="0000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themeColor="text1" w:themeTint="0000D8" w:val="272727"/>
    </w:rPr>
  </w:style>
  <w:style w:styleId="BlockText" w:type="paragraph">
    <w:name w:val="Block Text"/>
    <w:basedOn w:val="BodyText"/>
    <w:next w:val="BodyText"/>
    <w:uiPriority w:val="9"/>
    <w:unhideWhenUsed w:val="1"/>
    <w:qFormat w:val="1"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 w:val="1"/>
    <w:qFormat w:val="1"/>
  </w:style>
  <w:style w:styleId="FootnoteBlockText" w:type="paragraph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 w:val="1"/>
    <w:unhideWhenUsed w:val="1"/>
  </w:style>
  <w:style w:default="1" w:styleId="Table" w:type="table">
    <w:name w:val="Table"/>
    <w:basedOn w:val="TableNormal"/>
    <w:semiHidden w:val="1"/>
    <w:unhideWhenUsed w:val="1"/>
    <w:qFormat w:val="1"/>
    <w:tblPr>
      <w:tblInd w:type="dxa" w:w="0.0"/>
      <w:tblCellMar>
        <w:top w:type="dxa" w:w="0.0"/>
        <w:left w:type="dxa" w:w="108.0"/>
        <w:bottom w:type="dxa" w:w="0.0"/>
        <w:right w:type="dxa" w:w="108.0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 w:val="1"/>
    </w:rPr>
  </w:style>
  <w:style w:customStyle="1" w:styleId="TableCaption" w:type="paragraph">
    <w:name w:val="Table Caption"/>
    <w:basedOn w:val="Caption"/>
    <w:pPr>
      <w:keepNext w:val="1"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 w:val="1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0000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b w:val="1"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 w:val="1"/>
      <w:color w:val="008000"/>
    </w:rPr>
  </w:style>
  <w:style w:customStyle="1" w:styleId="CommentTok" w:type="character">
    <w:name w:val="CommentTok"/>
    <w:basedOn w:val="VerbatimChar"/>
    <w:rPr>
      <w:i w:val="1"/>
      <w:color w:val="60a0b0"/>
    </w:rPr>
  </w:style>
  <w:style w:customStyle="1" w:styleId="DocumentationTok" w:type="character">
    <w:name w:val="DocumentationTok"/>
    <w:basedOn w:val="VerbatimChar"/>
    <w:rPr>
      <w:i w:val="1"/>
      <w:color w:val="ba2121"/>
    </w:rPr>
  </w:style>
  <w:style w:customStyle="1" w:styleId="AnnotationTok" w:type="character">
    <w:name w:val="AnnotationTok"/>
    <w:basedOn w:val="VerbatimChar"/>
    <w:rPr>
      <w:b w:val="1"/>
      <w:i w:val="1"/>
      <w:color w:val="60a0b0"/>
    </w:rPr>
  </w:style>
  <w:style w:customStyle="1" w:styleId="CommentVarTok" w:type="character">
    <w:name w:val="CommentVarTok"/>
    <w:basedOn w:val="VerbatimChar"/>
    <w:rPr>
      <w:b w:val="1"/>
      <w:i w:val="1"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 w:val="1"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 w:val="1"/>
      <w:i w:val="1"/>
      <w:color w:val="60a0b0"/>
    </w:rPr>
  </w:style>
  <w:style w:customStyle="1" w:styleId="WarningTok" w:type="character">
    <w:name w:val="WarningTok"/>
    <w:basedOn w:val="VerbatimChar"/>
    <w:rPr>
      <w:b w:val="1"/>
      <w:i w:val="1"/>
      <w:color w:val="60a0b0"/>
    </w:rPr>
  </w:style>
  <w:style w:customStyle="1" w:styleId="AlertTok" w:type="character">
    <w:name w:val="AlertTok"/>
    <w:basedOn w:val="VerbatimChar"/>
    <w:rPr>
      <w:b w:val="1"/>
      <w:color w:val="ff0000"/>
    </w:rPr>
  </w:style>
  <w:style w:customStyle="1" w:styleId="ErrorTok" w:type="character">
    <w:name w:val="ErrorTok"/>
    <w:basedOn w:val="VerbatimChar"/>
    <w:rPr>
      <w:b w:val="1"/>
      <w:color w:val="ff0000"/>
    </w:rPr>
  </w:style>
  <w:style w:customStyle="1" w:styleId="NormalTok" w:type="character">
    <w:name w:val="NormalTok"/>
    <w:basedOn w:val="VerbatimChar"/>
    <w:rPr/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styleId="Subtitle" w:type="paragraph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2026-10-02T10:13:56Z</dcterms:created>
  <dcterms:modified xsi:type="dcterms:W3CDTF">2026-10-02T10:13:56Z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