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957092de64cc874c484a8abc5f48def906d0ff"/>
    <w:p>
      <w:pPr>
        <w:pStyle w:val="Heading1"/>
      </w:pPr>
      <w:r>
        <w:t xml:space="preserve">Semanário — Rafael Martins — 09 a 13/11/2026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09 a 13/11/2026.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</w:pPr>
            <w:r>
              <w:t xml:space="preserve">10/11, 12:55–14:35</w:t>
            </w:r>
          </w:p>
        </w:tc>
        <w:tc>
          <w:tcPr/>
          <w:p>
            <w:pPr>
              <w:pStyle w:val="Compact"/>
            </w:pPr>
            <w:r>
              <w:t xml:space="preserve">Parque de diversões + Circo + Áreas livres + desafio</w:t>
            </w:r>
          </w:p>
        </w:tc>
        <w:tc>
          <w:tcPr/>
          <w:p>
            <w:pPr>
              <w:pStyle w:val="Compact"/>
            </w:pPr>
            <w:r>
              <w:t xml:space="preserve">Furadeira + Ponte rolante + Catraca + desafio de Mundo do Trabalho</w:t>
            </w:r>
          </w:p>
        </w:tc>
        <w:tc>
          <w:tcPr/>
          <w:p>
            <w:pPr>
              <w:pStyle w:val="Compact"/>
            </w:pPr>
            <w:r>
              <w:t xml:space="preserve">pp. 208, 218, 230 e 240</w:t>
            </w:r>
          </w:p>
        </w:tc>
        <w:tc>
          <w:tcPr/>
          <w:p>
            <w:pPr>
              <w:pStyle w:val="Compact"/>
            </w:pPr>
            <w:r>
              <w:t xml:space="preserve">Guias: Furadeira pp. 4–10; Ponte rolante pp. 2–8; Catraca pp. 2–8;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</w:pPr>
            <w:r>
              <w:t xml:space="preserve">10/11, 15:45–17:25</w:t>
            </w:r>
          </w:p>
        </w:tc>
        <w:tc>
          <w:tcPr/>
          <w:p>
            <w:pPr>
              <w:pStyle w:val="Compact"/>
            </w:pPr>
            <w:r>
              <w:t xml:space="preserve">Você está pronto para zarpar para a Lua?</w:t>
            </w:r>
          </w:p>
        </w:tc>
        <w:tc>
          <w:tcPr/>
          <w:p>
            <w:pPr>
              <w:pStyle w:val="Compact"/>
            </w:pPr>
            <w:r>
              <w:t xml:space="preserve">Perdidos no espaço — ensaio geral</w:t>
            </w:r>
          </w:p>
        </w:tc>
        <w:tc>
          <w:tcPr/>
          <w:p>
            <w:pPr>
              <w:pStyle w:val="Compact"/>
            </w:pPr>
            <w:r>
              <w:t xml:space="preserve">p. 138</w:t>
            </w:r>
          </w:p>
        </w:tc>
        <w:tc>
          <w:tcPr/>
          <w:p>
            <w:pPr>
              <w:pStyle w:val="Compact"/>
            </w:pPr>
            <w:r>
              <w:t xml:space="preserve">pp. 51–56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</w:pPr>
            <w:r>
              <w:t xml:space="preserve">13/11, 07:15–08:55</w:t>
            </w:r>
          </w:p>
        </w:tc>
        <w:tc>
          <w:tcPr/>
          <w:p>
            <w:pPr>
              <w:pStyle w:val="Compact"/>
            </w:pPr>
            <w:r>
              <w:t xml:space="preserve">Comunicação por infravermelho</w:t>
            </w:r>
          </w:p>
        </w:tc>
        <w:tc>
          <w:tcPr/>
          <w:p>
            <w:pPr>
              <w:pStyle w:val="Compact"/>
            </w:pPr>
            <w:r>
              <w:t xml:space="preserve">Parabólica satélite — construção</w:t>
            </w:r>
          </w:p>
        </w:tc>
        <w:tc>
          <w:tcPr/>
          <w:p>
            <w:pPr>
              <w:pStyle w:val="Compact"/>
            </w:pPr>
            <w:r>
              <w:t xml:space="preserve">p. 266</w:t>
            </w:r>
          </w:p>
        </w:tc>
        <w:tc>
          <w:tcPr/>
          <w:p>
            <w:pPr>
              <w:pStyle w:val="Compact"/>
            </w:pPr>
            <w:r>
              <w:t xml:space="preserve">pp. 2–12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18" w:name="planos-de-aula"/>
    <w:p>
      <w:pPr>
        <w:pStyle w:val="Heading2"/>
      </w:pPr>
      <w:r>
        <w:t xml:space="preserve">Planos de aula</w:t>
      </w:r>
    </w:p>
    <w:bookmarkStart w:id="13" w:name="X68a4d124c2692fb1465112c8fa294cfac7779b4"/>
    <w:p>
      <w:pPr>
        <w:pStyle w:val="Heading3"/>
      </w:pPr>
      <w:r>
        <w:t xml:space="preserve">3ºC — 10/11 — 12:55–14:35</w:t>
      </w:r>
    </w:p>
    <w:p>
      <w:pPr>
        <w:pStyle w:val="Compact"/>
        <w:numPr>
          <w:ilvl w:val="0"/>
          <w:numId w:val="1002"/>
        </w:numPr>
      </w:pPr>
      <w:r>
        <w:t xml:space="preserve">Conteúdo de partida: Parque de diversões + Circo + Áreas livres + desafio.</w:t>
      </w:r>
    </w:p>
    <w:p>
      <w:pPr>
        <w:pStyle w:val="Compact"/>
        <w:numPr>
          <w:ilvl w:val="0"/>
          <w:numId w:val="1002"/>
        </w:numPr>
      </w:pPr>
      <w:r>
        <w:t xml:space="preserve">Aula oficial: Furadeira + Ponte rolante + Catraca + desafio de Mundo do Trabalho.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Furadeira + Ponte rolante + Catraca + desafio de Mundo do Trabalho,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208, 218, 230 e 240; Guias: Furadeira pp. 4–10; Ponte rolante pp. 2–8; Catraca pp. 2–8; desafio p. 2.</w:t>
      </w:r>
    </w:p>
    <w:p>
      <w:pPr>
        <w:pStyle w:val="Compact"/>
        <w:numPr>
          <w:ilvl w:val="0"/>
          <w:numId w:val="1002"/>
        </w:numPr>
      </w:pPr>
      <w:r>
        <w:t xml:space="preserve">Materiais: kits motorizados, VinciBot, computador ou tablet e guias de Ponte levadiça e Grua.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Parque de diversões + Circo + Áreas livres + desafio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Furadeira + Ponte rolante + Catraca + desafio de Mundo do Trabalho,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Furadeira + Ponte rolante + Catraca + desafio de Mundo do Trabalho.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1ca420591aaacdf95f0f10ca266a79563cf457d"/>
    <w:p>
      <w:pPr>
        <w:pStyle w:val="Heading3"/>
      </w:pPr>
      <w:r>
        <w:t xml:space="preserve">1ºB — 10/11 — 15:45–17:25</w:t>
      </w:r>
    </w:p>
    <w:p>
      <w:pPr>
        <w:pStyle w:val="Compact"/>
        <w:numPr>
          <w:ilvl w:val="0"/>
          <w:numId w:val="1004"/>
        </w:numPr>
      </w:pPr>
      <w:r>
        <w:t xml:space="preserve">Conteúdo de partida: Você está pronto para zarpar para a Lua?.</w:t>
      </w:r>
    </w:p>
    <w:p>
      <w:pPr>
        <w:pStyle w:val="Compact"/>
        <w:numPr>
          <w:ilvl w:val="0"/>
          <w:numId w:val="1004"/>
        </w:numPr>
      </w:pPr>
      <w:r>
        <w:t xml:space="preserve">Aula oficial: Perdidos no espaço — ensaio geral.</w:t>
      </w:r>
    </w:p>
    <w:p>
      <w:pPr>
        <w:pStyle w:val="Compact"/>
        <w:numPr>
          <w:ilvl w:val="0"/>
          <w:numId w:val="1004"/>
        </w:numPr>
      </w:pPr>
      <w:r>
        <w:t xml:space="preserve">Objetivo: programar, testar e depurar a atividade Perdidos no espaço — ensaio geral, registrando a estratégia utilizada.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 138; Aluno pp. 51–56.</w:t>
      </w:r>
    </w:p>
    <w:p>
      <w:pPr>
        <w:pStyle w:val="Compact"/>
        <w:numPr>
          <w:ilvl w:val="0"/>
          <w:numId w:val="1004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Você está pronto para zarpar para a Lua?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Perdidos no espaço — ensaio geral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Perdidos no espaço — ensaio geral.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1de9c4e738097e924ba24dab67e69aa0e849275"/>
    <w:p>
      <w:pPr>
        <w:pStyle w:val="Heading3"/>
      </w:pPr>
      <w:r>
        <w:t xml:space="preserve">5ºA — 13/11 — 07:15–08:55</w:t>
      </w:r>
    </w:p>
    <w:p>
      <w:pPr>
        <w:pStyle w:val="Compact"/>
        <w:numPr>
          <w:ilvl w:val="0"/>
          <w:numId w:val="1006"/>
        </w:numPr>
      </w:pPr>
      <w:r>
        <w:t xml:space="preserve">Conteúdo de partida: Comunicação por infravermelho.</w:t>
      </w:r>
    </w:p>
    <w:p>
      <w:pPr>
        <w:pStyle w:val="Compact"/>
        <w:numPr>
          <w:ilvl w:val="0"/>
          <w:numId w:val="1006"/>
        </w:numPr>
      </w:pPr>
      <w:r>
        <w:t xml:space="preserve">Aula oficial: Parabólica satélite — construção.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Parabólica satélite — construção,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 266; Aluno pp. 2–12.</w:t>
      </w:r>
    </w:p>
    <w:p>
      <w:pPr>
        <w:pStyle w:val="Compact"/>
        <w:numPr>
          <w:ilvl w:val="0"/>
          <w:numId w:val="1006"/>
        </w:numPr>
      </w:pPr>
      <w:r>
        <w:t xml:space="preserve">Materiais: Conjunto de Blocos e Mecanismos Motorizados, VinciBot, computador ou tablet e guia da Parabólica satélite.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Comunicação por infravermelho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Parabólica satélite — construção,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Parabólica satélite — construção. Os estudantes planejaram a atividade, desenvolveram a proposta em equipe, testaram ou revisaram o resultado e registraram as aprendizagens mobilizadas.</w:t>
      </w:r>
    </w:p>
    <w:bookmarkEnd w:id="16"/>
    <w:bookmarkEnd w:id="17"/>
    <w:bookmarkEnd w:id="18"/>
    <w:bookmarkStart w:id="19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08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08"/>
        </w:numPr>
      </w:pPr>
      <w:r>
        <w:t xml:space="preserve">Não avançar automaticamente no encontro seguinte se uma construção ou teste essencial ficar incompleto.</w:t>
      </w:r>
    </w:p>
    <w:bookmarkEnd w:id="19"/>
    <w:bookmarkEnd w:id="20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2026-10-05T18:17:02Z</dcterms:created>
  <dcterms:modified xsi:type="dcterms:W3CDTF">2026-10-05T18:17:02Z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