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70b58c333a8424f872dc6d49c7500ff6c0dba0"/>
    <w:p>
      <w:pPr>
        <w:pStyle w:val="Heading1"/>
      </w:pPr>
      <w:r>
        <w:t xml:space="preserve">Semanário — Rafael Martins — 26 a 30/10/2026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26 a 30/10/2026.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</w:pPr>
            <w:r>
              <w:t xml:space="preserve">27/10, 12:55–14:35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pp. 176, 186, 196 e 204</w:t>
            </w:r>
          </w:p>
        </w:tc>
        <w:tc>
          <w:tcPr/>
          <w:p>
            <w:pPr>
              <w:pStyle w:val="Compact"/>
            </w:pPr>
            <w:r>
              <w:t xml:space="preserve">pp. 143, 153, 161 e 166–167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</w:pPr>
            <w:r>
              <w:t xml:space="preserve">27/10, 15:45–17:25</w:t>
            </w:r>
          </w:p>
        </w:tc>
        <w:tc>
          <w:tcPr/>
          <w:p>
            <w:pPr>
              <w:pStyle w:val="Compact"/>
            </w:pPr>
            <w:r>
              <w:t xml:space="preserve">Lá vem o trem</w:t>
            </w:r>
          </w:p>
        </w:tc>
        <w:tc>
          <w:tcPr/>
          <w:p>
            <w:pPr>
              <w:pStyle w:val="Compact"/>
            </w:pPr>
            <w:r>
              <w:t xml:space="preserve">Você está pronto para zarpar para a Lua?</w:t>
            </w:r>
          </w:p>
        </w:tc>
        <w:tc>
          <w:tcPr/>
          <w:p>
            <w:pPr>
              <w:pStyle w:val="Compact"/>
            </w:pPr>
            <w:r>
              <w:t xml:space="preserve">p. 132</w:t>
            </w:r>
          </w:p>
        </w:tc>
        <w:tc>
          <w:tcPr/>
          <w:p>
            <w:pPr>
              <w:pStyle w:val="Compact"/>
            </w:pPr>
            <w:r>
              <w:t xml:space="preserve">pp. 45–50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</w:pPr>
            <w:r>
              <w:t xml:space="preserve">30/10, 07:15–08:55</w:t>
            </w:r>
          </w:p>
        </w:tc>
        <w:tc>
          <w:tcPr/>
          <w:p>
            <w:pPr>
              <w:pStyle w:val="Compact"/>
            </w:pPr>
            <w:r>
              <w:t xml:space="preserve">Momento do Desafio de Bem-estar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</w:t>
            </w:r>
          </w:p>
        </w:tc>
        <w:tc>
          <w:tcPr/>
          <w:p>
            <w:pPr>
              <w:pStyle w:val="Compact"/>
            </w:pPr>
            <w:r>
              <w:t xml:space="preserve">p. 254</w:t>
            </w:r>
          </w:p>
        </w:tc>
        <w:tc>
          <w:tcPr/>
          <w:p>
            <w:pPr>
              <w:pStyle w:val="Compact"/>
            </w:pPr>
            <w:r>
              <w:t xml:space="preserve">pp. 1–10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3" w:name="X02da0b3a2dec152d48e5cc9e306a4dffba7f961"/>
    <w:p>
      <w:pPr>
        <w:pStyle w:val="Heading3"/>
      </w:pPr>
      <w:r>
        <w:t xml:space="preserve">3ºC — 27/10 — 12:55–14:35</w:t>
      </w:r>
    </w:p>
    <w:p>
      <w:pPr>
        <w:pStyle w:val="Compact"/>
        <w:numPr>
          <w:ilvl w:val="0"/>
          <w:numId w:val="1002"/>
        </w:numPr>
      </w:pPr>
      <w:r>
        <w:t xml:space="preserve">Conteúdo de partida: Robô arbóreo + Robô quadrúpede + desafio de Locomoção dos Animais.</w:t>
      </w:r>
    </w:p>
    <w:p>
      <w:pPr>
        <w:pStyle w:val="Compact"/>
        <w:numPr>
          <w:ilvl w:val="0"/>
          <w:numId w:val="1002"/>
        </w:numPr>
      </w:pPr>
      <w:r>
        <w:t xml:space="preserve">Aula oficial: Parque de diversões + Circo + Áreas livres + desafio.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Parque de diversões + Circo + Áreas livres + desafio,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176, 186, 196 e 204; Aluno pp. 143, 153, 161 e 166–167.</w:t>
      </w:r>
    </w:p>
    <w:p>
      <w:pPr>
        <w:pStyle w:val="Compact"/>
        <w:numPr>
          <w:ilvl w:val="0"/>
          <w:numId w:val="1002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Robô arbóreo + Robô quadrúpede + desafio de Locomoção dos Animais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Parque de diversões + Circo + Áreas livres + desafio,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Parque de diversões + Circo + Áreas livres + desafio.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834a06e6bc089bbbe68db370fcbd6f2ff9fa8ba"/>
    <w:p>
      <w:pPr>
        <w:pStyle w:val="Heading3"/>
      </w:pPr>
      <w:r>
        <w:t xml:space="preserve">1ºB — 27/10 — 15:45–17:25</w:t>
      </w:r>
    </w:p>
    <w:p>
      <w:pPr>
        <w:pStyle w:val="Compact"/>
        <w:numPr>
          <w:ilvl w:val="0"/>
          <w:numId w:val="1004"/>
        </w:numPr>
      </w:pPr>
      <w:r>
        <w:t xml:space="preserve">Conteúdo de partida: Lá vem o trem.</w:t>
      </w:r>
    </w:p>
    <w:p>
      <w:pPr>
        <w:pStyle w:val="Compact"/>
        <w:numPr>
          <w:ilvl w:val="0"/>
          <w:numId w:val="1004"/>
        </w:numPr>
      </w:pPr>
      <w:r>
        <w:t xml:space="preserve">Aula oficial: Você está pronto para zarpar para a Lua?.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Você está pronto para zarpar para a Lua?,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132; Aluno pp. 45–50.</w:t>
      </w:r>
    </w:p>
    <w:p>
      <w:pPr>
        <w:pStyle w:val="Compact"/>
        <w:numPr>
          <w:ilvl w:val="0"/>
          <w:numId w:val="1004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Lá vem o trem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Você está pronto para zarpar para a Lua?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Você está pronto para zarpar para a Lua?.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d5c4aeba0243541e855af3f926c00ee50a49bfd"/>
    <w:p>
      <w:pPr>
        <w:pStyle w:val="Heading3"/>
      </w:pPr>
      <w:r>
        <w:t xml:space="preserve">5ºA — 30/10 — 07:15–08:55</w:t>
      </w:r>
    </w:p>
    <w:p>
      <w:pPr>
        <w:pStyle w:val="Compact"/>
        <w:numPr>
          <w:ilvl w:val="0"/>
          <w:numId w:val="1006"/>
        </w:numPr>
      </w:pPr>
      <w:r>
        <w:t xml:space="preserve">Conteúdo de partida: Momento do Desafio de Bem-estar.</w:t>
      </w:r>
    </w:p>
    <w:p>
      <w:pPr>
        <w:pStyle w:val="Compact"/>
        <w:numPr>
          <w:ilvl w:val="0"/>
          <w:numId w:val="1006"/>
        </w:numPr>
      </w:pPr>
      <w:r>
        <w:t xml:space="preserve">Aula oficial: Comunicação por infravermelho.</w:t>
      </w:r>
    </w:p>
    <w:p>
      <w:pPr>
        <w:pStyle w:val="Compact"/>
        <w:numPr>
          <w:ilvl w:val="0"/>
          <w:numId w:val="1006"/>
        </w:numPr>
      </w:pPr>
      <w:r>
        <w:t xml:space="preserve">Objetivo: programar, testar e depurar a atividade Comunicação por infravermelho, registrando a estratégia utilizada.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254; Aluno pp. 1–10.</w:t>
      </w:r>
    </w:p>
    <w:p>
      <w:pPr>
        <w:pStyle w:val="Compact"/>
        <w:numPr>
          <w:ilvl w:val="0"/>
          <w:numId w:val="1006"/>
        </w:numPr>
      </w:pPr>
      <w:r>
        <w:t xml:space="preserve">Materiais: VinciBot, Tapete de Missões, computador ou tablet e câmera de celular.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Momento do Desafio de Bem-estar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Comunicação por infravermelho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Comunicação por infravermelho. Os estudantes planejaram a atividade, desenvolveram a proposta em equipe, testaram ou revisaram o resultado e registraram as aprendizagens mobilizadas.</w:t>
      </w:r>
    </w:p>
    <w:bookmarkEnd w:id="16"/>
    <w:bookmarkEnd w:id="17"/>
    <w:bookmarkEnd w:id="18"/>
    <w:bookmarkStart w:id="19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08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08"/>
        </w:numPr>
      </w:pPr>
      <w:r>
        <w:t xml:space="preserve">Não avançar automaticamente no encontro seguinte se uma construção ou teste essencial ficar incompleto.</w:t>
      </w:r>
    </w:p>
    <w:bookmarkEnd w:id="19"/>
    <w:bookmarkEnd w:id="20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2026-10-05T18:17:01Z</dcterms:created>
  <dcterms:modified xsi:type="dcterms:W3CDTF">2026-10-05T18:17:01Z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