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3584f4132c9b6bdf0acd3411c5a4ffac4da163"/>
    <w:p>
      <w:pPr>
        <w:pStyle w:val="Heading1"/>
      </w:pPr>
      <w:r>
        <w:t xml:space="preserve">Semanário — Ricardo Palhares — 12 a 16/10/2026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12 a 16/10/2026.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12/10 é feriado nacional; não há turma válida de Rafael ou Ricardo na segunda-feira da Semana A.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14/10, 07:15–08:55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p. 112</w:t>
            </w:r>
          </w:p>
        </w:tc>
        <w:tc>
          <w:tcPr/>
          <w:p>
            <w:pPr>
              <w:pStyle w:val="Compact"/>
            </w:pPr>
            <w:r>
              <w:t xml:space="preserve">pp. 25–30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14/10, 14:35–15:45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 — testes e experimento</w:t>
            </w:r>
          </w:p>
        </w:tc>
        <w:tc>
          <w:tcPr/>
          <w:p>
            <w:pPr>
              <w:pStyle w:val="Compact"/>
            </w:pPr>
            <w:r>
              <w:t xml:space="preserve">p. 254</w:t>
            </w:r>
          </w:p>
        </w:tc>
        <w:tc>
          <w:tcPr/>
          <w:p>
            <w:pPr>
              <w:pStyle w:val="Compact"/>
            </w:pPr>
            <w:r>
              <w:t xml:space="preserve">pp. 1–10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14/10, 15:45–17:25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p. 112</w:t>
            </w:r>
          </w:p>
        </w:tc>
        <w:tc>
          <w:tcPr/>
          <w:p>
            <w:pPr>
              <w:pStyle w:val="Compact"/>
            </w:pPr>
            <w:r>
              <w:t xml:space="preserve">pp. 25–30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15/10, 07:15–08:55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p. 240</w:t>
            </w:r>
          </w:p>
        </w:tc>
        <w:tc>
          <w:tcPr/>
          <w:p>
            <w:pPr>
              <w:pStyle w:val="Compact"/>
            </w:pPr>
            <w:r>
              <w:t xml:space="preserve">pp. 4–14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15/10,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p. 112</w:t>
            </w:r>
          </w:p>
        </w:tc>
        <w:tc>
          <w:tcPr/>
          <w:p>
            <w:pPr>
              <w:pStyle w:val="Compact"/>
            </w:pPr>
            <w:r>
              <w:t xml:space="preserve">pp. 25–30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15/10, 10:55–11:45</w:t>
            </w:r>
          </w:p>
        </w:tc>
        <w:tc>
          <w:tcPr/>
          <w:p>
            <w:pPr>
              <w:pStyle w:val="Compact"/>
            </w:pPr>
            <w:r>
              <w:t xml:space="preserve">Máquina GBC — conclusão, testes e ajustes</w:t>
            </w:r>
          </w:p>
        </w:tc>
        <w:tc>
          <w:tcPr/>
          <w:p>
            <w:pPr>
              <w:pStyle w:val="Compact"/>
            </w:pPr>
            <w:r>
              <w:t xml:space="preserve">Ponte levadiça — construção</w:t>
            </w:r>
          </w:p>
        </w:tc>
        <w:tc>
          <w:tcPr/>
          <w:p>
            <w:pPr>
              <w:pStyle w:val="Compact"/>
            </w:pPr>
            <w:r>
              <w:t xml:space="preserve">p. 130</w:t>
            </w:r>
          </w:p>
        </w:tc>
        <w:tc>
          <w:tcPr/>
          <w:p>
            <w:pPr>
              <w:pStyle w:val="Compact"/>
            </w:pPr>
            <w:r>
              <w:t xml:space="preserve">p. 105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b749be73a79f95172935731573ff0d83023e01e"/>
    <w:p>
      <w:pPr>
        <w:pStyle w:val="Heading3"/>
      </w:pPr>
      <w:r>
        <w:t xml:space="preserve">2ºB — 14/10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Máquina de desenhar.</w:t>
      </w:r>
    </w:p>
    <w:p>
      <w:pPr>
        <w:pStyle w:val="Compact"/>
        <w:numPr>
          <w:ilvl w:val="0"/>
          <w:numId w:val="1002"/>
        </w:numPr>
      </w:pPr>
      <w:r>
        <w:t xml:space="preserve">Aula oficial: Dançando com o Matata.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Dançando com o Matata,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112; Aluno pp. 25–30.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de desenhar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Dançando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Dançando com o Matata.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ca07207c492d1b3e225a176af796095e621c493"/>
    <w:p>
      <w:pPr>
        <w:pStyle w:val="Heading3"/>
      </w:pPr>
      <w:r>
        <w:t xml:space="preserve">5ºC — 14/10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Comunicação por infravermelho.</w:t>
      </w:r>
    </w:p>
    <w:p>
      <w:pPr>
        <w:pStyle w:val="Compact"/>
        <w:numPr>
          <w:ilvl w:val="0"/>
          <w:numId w:val="1004"/>
        </w:numPr>
      </w:pPr>
      <w:r>
        <w:t xml:space="preserve">Aula oficial: Comunicação por infravermelho — testes e experimento.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Comunicação por infravermelho — testes e experimento,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254; Aluno pp. 1–10.</w:t>
      </w:r>
    </w:p>
    <w:p>
      <w:pPr>
        <w:pStyle w:val="Compact"/>
        <w:numPr>
          <w:ilvl w:val="0"/>
          <w:numId w:val="1004"/>
        </w:numPr>
      </w:pPr>
      <w:r>
        <w:t xml:space="preserve">Materiais: VinciBot, Tapete de Missões, computador ou tablet e câmera de celular.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Continuação.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Comunicação por infravermelho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Comunicação por infravermelho — testes e experimento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por infravermelho — testes e experimento.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eba0480ea033d555128f3a7967cf5bd762eb5de"/>
    <w:p>
      <w:pPr>
        <w:pStyle w:val="Heading3"/>
      </w:pPr>
      <w:r>
        <w:t xml:space="preserve">2ºD — 14/10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Máquina de desenhar.</w:t>
      </w:r>
    </w:p>
    <w:p>
      <w:pPr>
        <w:pStyle w:val="Compact"/>
        <w:numPr>
          <w:ilvl w:val="0"/>
          <w:numId w:val="1006"/>
        </w:numPr>
      </w:pPr>
      <w:r>
        <w:t xml:space="preserve">Aula oficial: Dançando com o Matata.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Dançando com o Matata,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112; Aluno pp. 25–30.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de desenhar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Dançando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Dançando com o Matata.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281afb15fae68fa16474f55f50dce05b2e64b20"/>
    <w:p>
      <w:pPr>
        <w:pStyle w:val="Heading3"/>
      </w:pPr>
      <w:r>
        <w:t xml:space="preserve">5ºB — 15/10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Desafio de Bem-estar.</w:t>
      </w:r>
    </w:p>
    <w:p>
      <w:pPr>
        <w:pStyle w:val="Compact"/>
        <w:numPr>
          <w:ilvl w:val="0"/>
          <w:numId w:val="1008"/>
        </w:numPr>
      </w:pPr>
      <w:r>
        <w:t xml:space="preserve">Aula oficial: Código Morse.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Código Morse,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240; Aluno pp. 4–14.</w:t>
      </w:r>
    </w:p>
    <w:p>
      <w:pPr>
        <w:pStyle w:val="Compact"/>
        <w:numPr>
          <w:ilvl w:val="0"/>
          <w:numId w:val="1008"/>
        </w:numPr>
      </w:pPr>
      <w:r>
        <w:t xml:space="preserve">Materiais: Conjunto de Blocos e Mecanismos Motorizados, VinciBot, computador ou tablet e guia da montagem.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Bem-estar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Código Morse,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Código Morse.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c6223df7a99877354112d9d6553f730c6d31bd3"/>
    <w:p>
      <w:pPr>
        <w:pStyle w:val="Heading3"/>
      </w:pPr>
      <w:r>
        <w:t xml:space="preserve">2ºA — 15/10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Máquina de desenhar.</w:t>
      </w:r>
    </w:p>
    <w:p>
      <w:pPr>
        <w:pStyle w:val="Compact"/>
        <w:numPr>
          <w:ilvl w:val="0"/>
          <w:numId w:val="1010"/>
        </w:numPr>
      </w:pPr>
      <w:r>
        <w:t xml:space="preserve">Aula oficial: Dançando com o Matata.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Dançando com o Matata,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112; Aluno pp. 25–30.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de desenhar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Dançando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Dançando com o Matata.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3adf9ba268287d27e9422b64f10962714bb7758"/>
    <w:p>
      <w:pPr>
        <w:pStyle w:val="Heading3"/>
      </w:pPr>
      <w:r>
        <w:t xml:space="preserve">4ºA — 15/10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Máquina GBC — conclusão, testes e ajustes.</w:t>
      </w:r>
    </w:p>
    <w:p>
      <w:pPr>
        <w:pStyle w:val="Compact"/>
        <w:numPr>
          <w:ilvl w:val="0"/>
          <w:numId w:val="1012"/>
        </w:numPr>
      </w:pPr>
      <w:r>
        <w:t xml:space="preserve">Aula oficial: Ponte levadiça — construção.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Ponte levadiça — construção,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130; Aluno p. 105.</w:t>
      </w:r>
    </w:p>
    <w:p>
      <w:pPr>
        <w:pStyle w:val="Compact"/>
        <w:numPr>
          <w:ilvl w:val="0"/>
          <w:numId w:val="101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Máquina GBC — conclusão, testes e ajustes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Ponte levadiça — construção,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Ponte levadiça — construção.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