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REPORT 3: SOFTWARE REQUIREMENTS SPECIFICATION (SRS)</w:t>
      </w:r>
    </w:p>
    <w:p>
      <w:r>
        <w:rPr>
          <w:b/>
        </w:rPr>
        <w:t xml:space="preserve">Sinh viên phụ trách: </w:t>
      </w:r>
      <w:r>
        <w:t>Nguyễn Xuân Đức (ducnxhe186870@fpt.edu.vn)</w:t>
        <w:br/>
      </w:r>
      <w:r>
        <w:rPr>
          <w:b/>
        </w:rPr>
        <w:t xml:space="preserve">Phân hệ: </w:t>
      </w:r>
      <w:r>
        <w:t>1.3 Manage Financial Profile &amp; Extracurricular Activities | 1.4 Academic Performance Analysis &amp; GPA Conversion</w:t>
        <w:br/>
      </w:r>
      <w:r>
        <w:rPr>
          <w:b/>
        </w:rPr>
        <w:t xml:space="preserve">Mục đích tài liệu: </w:t>
      </w:r>
      <w:r>
        <w:t>Tài liệu chứa đầy đủ các bảng Use Case Specification và Field Description Tables chuẩn form Google Docs của Report 3. Bạn có thể copy từng bảng và paste thẳng vào Google Docs, đảm bảo không bị lỗi dồn ô hay lệch cột.</w:t>
        <w:br/>
      </w:r>
    </w:p>
    <w:p>
      <w:pPr>
        <w:pStyle w:val="Heading1"/>
      </w:pPr>
      <w:r>
        <w:t>II. Use Case Specifications</w:t>
      </w:r>
    </w:p>
    <w:p>
      <w:pPr>
        <w:pStyle w:val="Heading2"/>
      </w:pPr>
      <w:r>
        <w:t>1.3 Manage Financial Profile &amp; Extracurricular Activities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968"/>
        <w:gridCol w:w="4968"/>
      </w:tblGrid>
      <w:tr>
        <w:tc>
          <w:tcPr>
            <w:tcW w:type="dxa" w:w="2592"/>
            <w:shd w:fill="F2F2F2"/>
            <w:tcMar>
              <w:top w:w="120" w:type="dxa"/>
              <w:bottom w:w="120" w:type="dxa"/>
              <w:left w:w="160" w:type="dxa"/>
              <w:right w:w="160" w:type="dxa"/>
            </w:tcMar>
          </w:tcPr>
          <w:p>
            <w:r>
              <w:rPr>
                <w:b/>
              </w:rPr>
              <w:t>Section</w:t>
            </w:r>
          </w:p>
        </w:tc>
        <w:tc>
          <w:tcPr>
            <w:tcW w:type="dxa" w:w="7344"/>
            <w:shd w:fill="F2F2F2"/>
            <w:tcMar>
              <w:top w:w="120" w:type="dxa"/>
              <w:bottom w:w="120" w:type="dxa"/>
              <w:left w:w="160" w:type="dxa"/>
              <w:right w:w="160" w:type="dxa"/>
            </w:tcMar>
          </w:tcPr>
          <w:p>
            <w:r>
              <w:rPr>
                <w:b/>
              </w:rPr>
              <w:t>Detail Specification</w:t>
            </w:r>
          </w:p>
        </w:tc>
      </w:tr>
      <w:tr>
        <w:tc>
          <w:tcPr>
            <w:tcW w:type="dxa" w:w="2592"/>
            <w:tcMar>
              <w:top w:w="120" w:type="dxa"/>
              <w:bottom w:w="120" w:type="dxa"/>
              <w:left w:w="160" w:type="dxa"/>
              <w:right w:w="160" w:type="dxa"/>
            </w:tcMar>
          </w:tcPr>
          <w:p>
            <w:r>
              <w:rPr>
                <w:b/>
                <w:sz w:val="19"/>
              </w:rPr>
              <w:t>Primary Actors</w:t>
            </w:r>
          </w:p>
        </w:tc>
        <w:tc>
          <w:tcPr>
            <w:tcW w:type="dxa" w:w="7344"/>
            <w:tcMar>
              <w:top w:w="120" w:type="dxa"/>
              <w:bottom w:w="120" w:type="dxa"/>
              <w:left w:w="160" w:type="dxa"/>
              <w:right w:w="160" w:type="dxa"/>
            </w:tcMar>
          </w:tcPr>
          <w:p>
            <w:pPr>
              <w:spacing w:after="40" w:line="276" w:lineRule="auto"/>
            </w:pPr>
            <w:r>
              <w:rPr>
                <w:sz w:val="19"/>
              </w:rPr>
              <w:t>Student / Applicant</w:t>
            </w:r>
          </w:p>
        </w:tc>
      </w:tr>
      <w:tr>
        <w:tc>
          <w:tcPr>
            <w:tcW w:type="dxa" w:w="2592"/>
            <w:tcMar>
              <w:top w:w="120" w:type="dxa"/>
              <w:bottom w:w="120" w:type="dxa"/>
              <w:left w:w="160" w:type="dxa"/>
              <w:right w:w="160" w:type="dxa"/>
            </w:tcMar>
          </w:tcPr>
          <w:p>
            <w:r>
              <w:rPr>
                <w:b/>
                <w:sz w:val="19"/>
              </w:rPr>
              <w:t>Secondary Actors</w:t>
            </w:r>
          </w:p>
        </w:tc>
        <w:tc>
          <w:tcPr>
            <w:tcW w:type="dxa" w:w="7344"/>
            <w:tcMar>
              <w:top w:w="120" w:type="dxa"/>
              <w:bottom w:w="120" w:type="dxa"/>
              <w:left w:w="160" w:type="dxa"/>
              <w:right w:w="160" w:type="dxa"/>
            </w:tcMar>
          </w:tcPr>
          <w:p>
            <w:pPr>
              <w:spacing w:after="40" w:line="276" w:lineRule="auto"/>
            </w:pPr>
            <w:r>
              <w:rPr>
                <w:sz w:val="19"/>
              </w:rPr>
              <w:t>None</w:t>
            </w:r>
          </w:p>
        </w:tc>
      </w:tr>
      <w:tr>
        <w:tc>
          <w:tcPr>
            <w:tcW w:type="dxa" w:w="2592"/>
            <w:tcMar>
              <w:top w:w="120" w:type="dxa"/>
              <w:bottom w:w="120" w:type="dxa"/>
              <w:left w:w="160" w:type="dxa"/>
              <w:right w:w="160" w:type="dxa"/>
            </w:tcMar>
          </w:tcPr>
          <w:p>
            <w:r>
              <w:rPr>
                <w:b/>
                <w:sz w:val="19"/>
              </w:rPr>
              <w:t>Description</w:t>
            </w:r>
          </w:p>
        </w:tc>
        <w:tc>
          <w:tcPr>
            <w:tcW w:type="dxa" w:w="7344"/>
            <w:tcMar>
              <w:top w:w="120" w:type="dxa"/>
              <w:bottom w:w="120" w:type="dxa"/>
              <w:left w:w="160" w:type="dxa"/>
              <w:right w:w="160" w:type="dxa"/>
            </w:tcMar>
          </w:tcPr>
          <w:p>
            <w:pPr>
              <w:spacing w:after="40" w:line="276" w:lineRule="auto"/>
            </w:pPr>
            <w:r>
              <w:rPr>
                <w:sz w:val="19"/>
              </w:rPr>
              <w:t>As a user, I want to manage my educational financial profile, extracurricular activities, and academic achievements so that the system can assess my financial feasibility and holistic profile competitiveness for US university admissions.</w:t>
            </w:r>
          </w:p>
        </w:tc>
      </w:tr>
      <w:tr>
        <w:tc>
          <w:tcPr>
            <w:tcW w:type="dxa" w:w="2592"/>
            <w:tcMar>
              <w:top w:w="120" w:type="dxa"/>
              <w:bottom w:w="120" w:type="dxa"/>
              <w:left w:w="160" w:type="dxa"/>
              <w:right w:w="160" w:type="dxa"/>
            </w:tcMar>
          </w:tcPr>
          <w:p>
            <w:r>
              <w:rPr>
                <w:b/>
                <w:sz w:val="19"/>
              </w:rPr>
              <w:t>Preconditions</w:t>
            </w:r>
          </w:p>
        </w:tc>
        <w:tc>
          <w:tcPr>
            <w:tcW w:type="dxa" w:w="7344"/>
            <w:tcMar>
              <w:top w:w="120" w:type="dxa"/>
              <w:bottom w:w="120" w:type="dxa"/>
              <w:left w:w="160" w:type="dxa"/>
              <w:right w:w="160" w:type="dxa"/>
            </w:tcMar>
          </w:tcPr>
          <w:p>
            <w:pPr>
              <w:spacing w:after="40" w:line="276" w:lineRule="auto"/>
            </w:pPr>
            <w:r>
              <w:rPr>
                <w:sz w:val="19"/>
              </w:rPr>
              <w:t>User account has been created &amp; authorized, and user has logged into the system.</w:t>
            </w:r>
          </w:p>
        </w:tc>
      </w:tr>
      <w:tr>
        <w:tc>
          <w:tcPr>
            <w:tcW w:type="dxa" w:w="2592"/>
            <w:tcMar>
              <w:top w:w="120" w:type="dxa"/>
              <w:bottom w:w="120" w:type="dxa"/>
              <w:left w:w="160" w:type="dxa"/>
              <w:right w:w="160" w:type="dxa"/>
            </w:tcMar>
          </w:tcPr>
          <w:p>
            <w:r>
              <w:rPr>
                <w:b/>
                <w:sz w:val="19"/>
              </w:rPr>
              <w:t>Normal Flow</w:t>
            </w:r>
          </w:p>
        </w:tc>
        <w:tc>
          <w:tcPr>
            <w:tcW w:type="dxa" w:w="7344"/>
            <w:tcMar>
              <w:top w:w="120" w:type="dxa"/>
              <w:bottom w:w="120" w:type="dxa"/>
              <w:left w:w="160" w:type="dxa"/>
              <w:right w:w="160" w:type="dxa"/>
            </w:tcMar>
          </w:tcPr>
          <w:p>
            <w:pPr>
              <w:spacing w:after="40" w:line="276" w:lineRule="auto"/>
            </w:pPr>
            <w:r>
              <w:rPr>
                <w:sz w:val="19"/>
              </w:rPr>
              <w:t>Manage Financial Profile &amp; Extracurricular Activities</w:t>
            </w:r>
          </w:p>
          <w:p>
            <w:pPr>
              <w:spacing w:after="40" w:line="276" w:lineRule="auto"/>
            </w:pPr>
            <w:r>
              <w:rPr>
                <w:sz w:val="19"/>
              </w:rPr>
              <w:t>1. User clicks Financial &amp; Activities menu from the page header or navigation bar.</w:t>
            </w:r>
          </w:p>
          <w:p>
            <w:pPr>
              <w:spacing w:after="40" w:line="276" w:lineRule="auto"/>
            </w:pPr>
            <w:r>
              <w:rPr>
                <w:sz w:val="19"/>
              </w:rPr>
              <w:t>2. System shows the Financial &amp; Activities Profile management screen (/profile/financial).</w:t>
            </w:r>
          </w:p>
          <w:p>
            <w:pPr>
              <w:spacing w:after="40" w:line="276" w:lineRule="auto"/>
            </w:pPr>
            <w:r>
              <w:rPr>
                <w:sz w:val="19"/>
              </w:rPr>
              <w:t>3. User types in financial information (annual educational budget in USD, primary funding source, scholarship requirement).</w:t>
            </w:r>
          </w:p>
          <w:p>
            <w:pPr>
              <w:spacing w:after="40" w:line="276" w:lineRule="auto"/>
            </w:pPr>
            <w:r>
              <w:rPr>
                <w:sz w:val="19"/>
              </w:rPr>
              <w:t>4. User types in extracurricular activities (activity title, role/organization, impact level 1–5, duration months, description).</w:t>
            </w:r>
          </w:p>
          <w:p>
            <w:pPr>
              <w:spacing w:after="40" w:line="276" w:lineRule="auto"/>
            </w:pPr>
            <w:r>
              <w:rPr>
                <w:sz w:val="19"/>
              </w:rPr>
              <w:t>5. User types in academic achievements &amp; honors (award title, issuing organization, issue date, description).</w:t>
            </w:r>
          </w:p>
          <w:p>
            <w:pPr>
              <w:spacing w:after="40" w:line="276" w:lineRule="auto"/>
            </w:pPr>
            <w:r>
              <w:rPr>
                <w:sz w:val="19"/>
              </w:rPr>
              <w:t>6. User clicks the Save Profile button (or individual add buttons).</w:t>
            </w:r>
          </w:p>
          <w:p>
            <w:pPr>
              <w:spacing w:after="40" w:line="276" w:lineRule="auto"/>
            </w:pPr>
            <w:r>
              <w:rPr>
                <w:sz w:val="19"/>
              </w:rPr>
              <w:t>7. System validates financial details, activity information, and award fields against business rules (GBR-FIN-01, GBR-FIN-02, GBR-ACT-01).</w:t>
            </w:r>
          </w:p>
          <w:p>
            <w:pPr>
              <w:spacing w:after="40" w:line="276" w:lineRule="auto"/>
            </w:pPr>
            <w:r>
              <w:rPr>
                <w:sz w:val="19"/>
              </w:rPr>
              <w:t>8. System saves the financial profile and activities/awards into the database (student_profiles, profile_activities).</w:t>
            </w:r>
          </w:p>
          <w:p>
            <w:pPr>
              <w:spacing w:after="40" w:line="276" w:lineRule="auto"/>
            </w:pPr>
            <w:r>
              <w:rPr>
                <w:sz w:val="19"/>
              </w:rPr>
              <w:t>9. System tracks user's profile update to the Activity Log.</w:t>
            </w:r>
          </w:p>
          <w:p>
            <w:pPr>
              <w:spacing w:after="40" w:line="276" w:lineRule="auto"/>
            </w:pPr>
            <w:r>
              <w:rPr>
                <w:sz w:val="19"/>
              </w:rPr>
              <w:t>10. System shows the success notification message (MSG-FIN-SUCCESS / MSG-ACT-SUCCESS) and refreshes the displayed portfolio without page reload.</w:t>
            </w:r>
          </w:p>
        </w:tc>
      </w:tr>
      <w:tr>
        <w:tc>
          <w:tcPr>
            <w:tcW w:type="dxa" w:w="2592"/>
            <w:tcMar>
              <w:top w:w="120" w:type="dxa"/>
              <w:bottom w:w="120" w:type="dxa"/>
              <w:left w:w="160" w:type="dxa"/>
              <w:right w:w="160" w:type="dxa"/>
            </w:tcMar>
          </w:tcPr>
          <w:p>
            <w:r>
              <w:rPr>
                <w:b/>
                <w:sz w:val="19"/>
              </w:rPr>
              <w:t>Alternative Flows</w:t>
            </w:r>
          </w:p>
        </w:tc>
        <w:tc>
          <w:tcPr>
            <w:tcW w:type="dxa" w:w="7344"/>
            <w:tcMar>
              <w:top w:w="120" w:type="dxa"/>
              <w:bottom w:w="120" w:type="dxa"/>
              <w:left w:w="160" w:type="dxa"/>
              <w:right w:w="160" w:type="dxa"/>
            </w:tcMar>
          </w:tcPr>
          <w:p>
            <w:pPr>
              <w:spacing w:after="40" w:line="276" w:lineRule="auto"/>
            </w:pPr>
            <w:r>
              <w:rPr>
                <w:sz w:val="19"/>
              </w:rPr>
              <w:t>Step 3.1_Zero budget declaration</w:t>
            </w:r>
          </w:p>
          <w:p>
            <w:pPr>
              <w:spacing w:after="40" w:line="276" w:lineRule="auto"/>
            </w:pPr>
            <w:r>
              <w:rPr>
                <w:sz w:val="19"/>
              </w:rPr>
              <w:t>1. User types in $0 for the annual educational budget.</w:t>
            </w:r>
          </w:p>
          <w:p>
            <w:pPr>
              <w:spacing w:after="40" w:line="276" w:lineRule="auto"/>
            </w:pPr>
            <w:r>
              <w:rPr>
                <w:sz w:val="19"/>
              </w:rPr>
              <w:t>2. System checks whether Needs Scholarship is flagged or funding source is Scholarship.</w:t>
            </w:r>
          </w:p>
          <w:p>
            <w:pPr>
              <w:spacing w:after="40" w:line="276" w:lineRule="auto"/>
            </w:pPr>
            <w:r>
              <w:rPr>
                <w:sz w:val="19"/>
              </w:rPr>
              <w:t>3. System displays an informational note that a zero-budget profile relies on full scholarships or need-based financial aid.</w:t>
            </w:r>
          </w:p>
          <w:p>
            <w:pPr>
              <w:spacing w:after="40" w:line="276" w:lineRule="auto"/>
            </w:pPr>
            <w:r>
              <w:rPr>
                <w:sz w:val="19"/>
              </w:rPr>
              <w:t>4. Return to step 4 of normal flow.</w:t>
            </w:r>
          </w:p>
          <w:p>
            <w:pPr>
              <w:spacing w:after="40" w:line="276" w:lineRule="auto"/>
            </w:pPr>
            <w:r>
              <w:rPr>
                <w:sz w:val="19"/>
              </w:rPr>
            </w:r>
          </w:p>
          <w:p>
            <w:pPr>
              <w:spacing w:after="40" w:line="276" w:lineRule="auto"/>
            </w:pPr>
            <w:r>
              <w:rPr>
                <w:sz w:val="19"/>
              </w:rPr>
              <w:t>Step 4.1_Delete an existing extracurricular activity or award</w:t>
            </w:r>
          </w:p>
          <w:p>
            <w:pPr>
              <w:spacing w:after="40" w:line="276" w:lineRule="auto"/>
            </w:pPr>
            <w:r>
              <w:rPr>
                <w:sz w:val="19"/>
              </w:rPr>
              <w:t>1. User clicks Delete button on a specific activity or award item in the list.</w:t>
            </w:r>
          </w:p>
          <w:p>
            <w:pPr>
              <w:spacing w:after="40" w:line="276" w:lineRule="auto"/>
            </w:pPr>
            <w:r>
              <w:rPr>
                <w:sz w:val="19"/>
              </w:rPr>
              <w:t>2. System displays a confirmation popup.</w:t>
            </w:r>
          </w:p>
          <w:p>
            <w:pPr>
              <w:spacing w:after="40" w:line="276" w:lineRule="auto"/>
            </w:pPr>
            <w:r>
              <w:rPr>
                <w:sz w:val="19"/>
              </w:rPr>
              <w:t>3. User confirms the deletion.</w:t>
            </w:r>
          </w:p>
          <w:p>
            <w:pPr>
              <w:spacing w:after="40" w:line="276" w:lineRule="auto"/>
            </w:pPr>
            <w:r>
              <w:rPr>
                <w:sz w:val="19"/>
              </w:rPr>
              <w:t>4. System dispatches DELETE /api/v1/profile/activities/{id} and removes the record from the database (HTTP 204 No Content).</w:t>
            </w:r>
          </w:p>
          <w:p>
            <w:pPr>
              <w:spacing w:after="40" w:line="276" w:lineRule="auto"/>
            </w:pPr>
            <w:r>
              <w:rPr>
                <w:sz w:val="19"/>
              </w:rPr>
              <w:t>5. System updates the activity list instantly without reloading the page.</w:t>
            </w:r>
          </w:p>
          <w:p>
            <w:pPr>
              <w:spacing w:after="40" w:line="276" w:lineRule="auto"/>
            </w:pPr>
            <w:r>
              <w:rPr>
                <w:sz w:val="19"/>
              </w:rPr>
            </w:r>
          </w:p>
          <w:p>
            <w:pPr>
              <w:spacing w:after="40" w:line="276" w:lineRule="auto"/>
            </w:pPr>
            <w:r>
              <w:rPr>
                <w:sz w:val="19"/>
              </w:rPr>
              <w:t>Step 6.1_System can't save the financial profile</w:t>
            </w:r>
          </w:p>
          <w:p>
            <w:pPr>
              <w:spacing w:after="40" w:line="276" w:lineRule="auto"/>
            </w:pPr>
            <w:r>
              <w:rPr>
                <w:sz w:val="19"/>
              </w:rPr>
              <w:t>User can't save financial profile &amp; gets relevant error message in one of below cases:</w:t>
            </w:r>
          </w:p>
          <w:p>
            <w:pPr>
              <w:spacing w:after="40" w:line="276" w:lineRule="auto"/>
            </w:pPr>
            <w:r>
              <w:rPr>
                <w:sz w:val="19"/>
              </w:rPr>
              <w:t>• Annual budget is left blank or non-numeric (MSG-FIN-ERR-BUDGET).</w:t>
            </w:r>
          </w:p>
          <w:p>
            <w:pPr>
              <w:spacing w:after="40" w:line="276" w:lineRule="auto"/>
            </w:pPr>
            <w:r>
              <w:rPr>
                <w:sz w:val="19"/>
              </w:rPr>
              <w:t>• Annual budget is a negative value or exceeds 10,000,000 USD (MSG-FIN-ERR-BUDGET).</w:t>
            </w:r>
          </w:p>
          <w:p>
            <w:pPr>
              <w:spacing w:after="40" w:line="276" w:lineRule="auto"/>
            </w:pPr>
            <w:r>
              <w:rPr>
                <w:sz w:val="19"/>
              </w:rPr>
              <w:t>• Primary Funding Source is unselected.</w:t>
            </w:r>
          </w:p>
          <w:p>
            <w:pPr>
              <w:spacing w:after="40" w:line="276" w:lineRule="auto"/>
            </w:pPr>
            <w:r>
              <w:rPr>
                <w:sz w:val="19"/>
              </w:rPr>
            </w:r>
          </w:p>
          <w:p>
            <w:pPr>
              <w:spacing w:after="40" w:line="276" w:lineRule="auto"/>
            </w:pPr>
            <w:r>
              <w:rPr>
                <w:sz w:val="19"/>
              </w:rPr>
              <w:t>Step 6.2_System can't save extracurricular activity or award</w:t>
            </w:r>
          </w:p>
          <w:p>
            <w:pPr>
              <w:spacing w:after="40" w:line="276" w:lineRule="auto"/>
            </w:pPr>
            <w:r>
              <w:rPr>
                <w:sz w:val="19"/>
              </w:rPr>
              <w:t>User can't save activity/award &amp; gets relevant error message in one of below cases:</w:t>
            </w:r>
          </w:p>
          <w:p>
            <w:pPr>
              <w:spacing w:after="40" w:line="276" w:lineRule="auto"/>
            </w:pPr>
            <w:r>
              <w:rPr>
                <w:sz w:val="19"/>
              </w:rPr>
              <w:t>• Activity title or Award title is left blank or less than 2 characters (MSG-ACT-ERR-TITLE).</w:t>
            </w:r>
          </w:p>
          <w:p>
            <w:pPr>
              <w:spacing w:after="40" w:line="276" w:lineRule="auto"/>
            </w:pPr>
            <w:r>
              <w:rPr>
                <w:sz w:val="19"/>
              </w:rPr>
              <w:t>• Activity title or Award title exceeds 150 characters.</w:t>
            </w:r>
          </w:p>
          <w:p>
            <w:pPr>
              <w:spacing w:after="40" w:line="276" w:lineRule="auto"/>
            </w:pPr>
            <w:r>
              <w:rPr>
                <w:sz w:val="19"/>
              </w:rPr>
              <w:t>• Impact level is not within 1 to 5.</w:t>
            </w:r>
          </w:p>
          <w:p>
            <w:pPr>
              <w:spacing w:after="40" w:line="276" w:lineRule="auto"/>
            </w:pPr>
            <w:r>
              <w:rPr>
                <w:sz w:val="19"/>
              </w:rPr>
              <w:t>• Description exceeds 1,000 characters.</w:t>
            </w:r>
          </w:p>
          <w:p>
            <w:pPr>
              <w:spacing w:after="40" w:line="276" w:lineRule="auto"/>
            </w:pPr>
            <w:r>
              <w:rPr>
                <w:sz w:val="19"/>
              </w:rPr>
            </w:r>
          </w:p>
          <w:p>
            <w:pPr>
              <w:spacing w:after="40" w:line="276" w:lineRule="auto"/>
            </w:pPr>
            <w:r>
              <w:rPr>
                <w:sz w:val="19"/>
              </w:rPr>
              <w:t>Step 6.3_System connection error</w:t>
            </w:r>
          </w:p>
          <w:p>
            <w:pPr>
              <w:spacing w:after="40" w:line="276" w:lineRule="auto"/>
            </w:pPr>
            <w:r>
              <w:rPr>
                <w:sz w:val="19"/>
              </w:rPr>
              <w:t>If system encounters unexpected database or network failure while saving data (HTTP 500), system shows error message (MSG-NET-RETRY) and keeps all entered data in the form for user to retry.</w:t>
            </w:r>
          </w:p>
        </w:tc>
      </w:tr>
      <w:tr>
        <w:tc>
          <w:tcPr>
            <w:tcW w:type="dxa" w:w="2592"/>
            <w:tcMar>
              <w:top w:w="120" w:type="dxa"/>
              <w:bottom w:w="120" w:type="dxa"/>
              <w:left w:w="160" w:type="dxa"/>
              <w:right w:w="160" w:type="dxa"/>
            </w:tcMar>
          </w:tcPr>
          <w:p>
            <w:r>
              <w:rPr>
                <w:b/>
                <w:sz w:val="19"/>
              </w:rPr>
              <w:t>Postconditions</w:t>
            </w:r>
          </w:p>
        </w:tc>
        <w:tc>
          <w:tcPr>
            <w:tcW w:type="dxa" w:w="7344"/>
            <w:tcMar>
              <w:top w:w="120" w:type="dxa"/>
              <w:bottom w:w="120" w:type="dxa"/>
              <w:left w:w="160" w:type="dxa"/>
              <w:right w:w="160" w:type="dxa"/>
            </w:tcMar>
          </w:tcPr>
          <w:p>
            <w:pPr>
              <w:spacing w:after="40" w:line="276" w:lineRule="auto"/>
            </w:pPr>
            <w:r>
              <w:rPr>
                <w:sz w:val="19"/>
              </w:rPr>
              <w:t>• User saves financial profile, extracurricular activities, and awards successfully.</w:t>
            </w:r>
          </w:p>
          <w:p>
            <w:pPr>
              <w:spacing w:after="40" w:line="276" w:lineRule="auto"/>
            </w:pPr>
            <w:r>
              <w:rPr>
                <w:sz w:val="19"/>
              </w:rPr>
              <w:t>• The system tracked profile update into the Activity Log.</w:t>
            </w:r>
          </w:p>
        </w:tc>
      </w:tr>
    </w:tbl>
    <w:p>
      <w:r>
        <w:br w:type="page"/>
      </w:r>
    </w:p>
    <w:p>
      <w:pPr>
        <w:pStyle w:val="Heading1"/>
      </w:pPr>
      <w:r>
        <w:t>III. Functional Requirements</w:t>
      </w:r>
    </w:p>
    <w:p>
      <w:pPr>
        <w:pStyle w:val="Heading2"/>
      </w:pPr>
      <w:r>
        <w:t>1.3 Financial &amp; Extracurricular Profile Management</w:t>
      </w:r>
    </w:p>
    <w:p>
      <w:pPr>
        <w:pStyle w:val="Heading3"/>
      </w:pPr>
      <w:r>
        <w:t>1.3.1 Screen: Financial &amp; Extracurricular Profile</w:t>
      </w:r>
    </w:p>
    <w:p>
      <w:r>
        <w:rPr>
          <w:b/>
        </w:rPr>
        <w:t>Content #1: UI layout (Wireframe or Mockup for the screen)</w:t>
        <w:br/>
      </w:r>
      <w:r>
        <w:t>(To be added later)</w:t>
        <w:br/>
        <w:br/>
      </w:r>
      <w:r>
        <w:rPr>
          <w:b/>
        </w:rPr>
        <w:t>Content #2: Screen Description (Mapped to Use Case)</w:t>
        <w:br/>
      </w:r>
      <w:r>
        <w:t>• Mapped Use Case: 1.3 Manage Financial Profile &amp; Extracurricular Activities (UC-03)</w:t>
        <w:br/>
      </w:r>
      <w:r>
        <w:t>• This screen allows the Student to:</w:t>
        <w:br/>
      </w:r>
      <w:r>
        <w:t xml:space="preserve">  - View Financial &amp; Activities Data: View current declared annual budget, funding source, scholarship flag, list of extracurricular activities, and academic honors.</w:t>
        <w:br/>
      </w:r>
      <w:r>
        <w:t xml:space="preserve">  - Update Financial Profile: Enter/edit expected annual budget in USD, select primary funding channel, and declare financial aid requirements.</w:t>
        <w:br/>
      </w:r>
      <w:r>
        <w:t xml:space="preserve">  - Manage Extracurricular Activities: Add, view, and delete extracurricular engagements with title, organization role, timeframe, impact level (1–5), and contribution description.</w:t>
        <w:br/>
      </w:r>
      <w:r>
        <w:t xml:space="preserve">  - Manage Achievements &amp; Awards: Add, view, and delete academic awards, national/international honors, certified credentials, and research projects.</w:t>
        <w:br/>
        <w:br/>
      </w:r>
      <w:r>
        <w:rPr>
          <w:b/>
        </w:rPr>
        <w:t>Content #3: Field Description Table</w:t>
        <w:br/>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968"/>
        <w:gridCol w:w="4968"/>
      </w:tblGrid>
      <w:tr>
        <w:tc>
          <w:tcPr>
            <w:tcW w:type="dxa" w:w="3168"/>
            <w:shd w:fill="F2F2F2"/>
            <w:tcMar>
              <w:top w:w="120" w:type="dxa"/>
              <w:bottom w:w="120" w:type="dxa"/>
              <w:left w:w="160" w:type="dxa"/>
              <w:right w:w="160" w:type="dxa"/>
            </w:tcMar>
          </w:tcPr>
          <w:p>
            <w:r>
              <w:rPr>
                <w:b/>
              </w:rPr>
              <w:t>Field Name</w:t>
            </w:r>
          </w:p>
        </w:tc>
        <w:tc>
          <w:tcPr>
            <w:tcW w:type="dxa" w:w="6768"/>
            <w:shd w:fill="F2F2F2"/>
            <w:tcMar>
              <w:top w:w="120" w:type="dxa"/>
              <w:bottom w:w="120" w:type="dxa"/>
              <w:left w:w="160" w:type="dxa"/>
              <w:right w:w="160" w:type="dxa"/>
            </w:tcMar>
          </w:tcPr>
          <w:p>
            <w:r>
              <w:rPr>
                <w:b/>
              </w:rPr>
              <w:t>Description</w:t>
            </w:r>
          </w:p>
        </w:tc>
      </w:tr>
      <w:tr>
        <w:tc>
          <w:tcPr>
            <w:tcW w:type="dxa" w:w="9936"/>
            <w:gridSpan w:val="2"/>
            <w:tcMar>
              <w:top w:w="120" w:type="dxa"/>
              <w:bottom w:w="120" w:type="dxa"/>
              <w:left w:w="160" w:type="dxa"/>
              <w:right w:w="160" w:type="dxa"/>
            </w:tcMar>
            <w:shd w:fill="E8EEF5"/>
          </w:tcPr>
          <w:p>
            <w:r>
              <w:rPr>
                <w:b/>
                <w:sz w:val="19"/>
              </w:rPr>
              <w:t>Group: Financial Information - Input fields for student financial capability declaration</w:t>
            </w:r>
          </w:p>
        </w:tc>
      </w:tr>
      <w:tr>
        <w:tc>
          <w:tcPr>
            <w:tcW w:type="dxa" w:w="3168"/>
            <w:tcMar>
              <w:top w:w="120" w:type="dxa"/>
              <w:bottom w:w="120" w:type="dxa"/>
              <w:left w:w="160" w:type="dxa"/>
              <w:right w:w="160" w:type="dxa"/>
            </w:tcMar>
          </w:tcPr>
          <w:p>
            <w:r>
              <w:rPr>
                <w:b/>
                <w:sz w:val="19"/>
              </w:rPr>
              <w:t>AnnualBudgetUsd</w:t>
            </w:r>
          </w:p>
        </w:tc>
        <w:tc>
          <w:tcPr>
            <w:tcW w:type="dxa" w:w="6768"/>
            <w:tcMar>
              <w:top w:w="120" w:type="dxa"/>
              <w:bottom w:w="120" w:type="dxa"/>
              <w:left w:w="160" w:type="dxa"/>
              <w:right w:w="160" w:type="dxa"/>
            </w:tcMar>
          </w:tcPr>
          <w:p>
            <w:pPr>
              <w:spacing w:after="40" w:line="276" w:lineRule="auto"/>
            </w:pPr>
            <w:r>
              <w:rPr>
                <w:sz w:val="19"/>
              </w:rPr>
              <w:t>• Data type: Positive decimal number.</w:t>
            </w:r>
          </w:p>
          <w:p>
            <w:pPr>
              <w:spacing w:after="40" w:line="276" w:lineRule="auto"/>
            </w:pPr>
            <w:r>
              <w:rPr>
                <w:sz w:val="19"/>
              </w:rPr>
              <w:t>• Range / Min-Max: Min: 0, Max: 10,000,000 USD.</w:t>
            </w:r>
          </w:p>
          <w:p>
            <w:pPr>
              <w:spacing w:after="40" w:line="276" w:lineRule="auto"/>
            </w:pPr>
            <w:r>
              <w:rPr>
                <w:sz w:val="19"/>
              </w:rPr>
              <w:t>• Initial / Default value: 30,000 (or previously saved value).</w:t>
            </w:r>
          </w:p>
          <w:p>
            <w:pPr>
              <w:spacing w:after="40" w:line="276" w:lineRule="auto"/>
            </w:pPr>
            <w:r>
              <w:rPr>
                <w:sz w:val="19"/>
              </w:rPr>
              <w:t>• Requirement: Required. Entering 0 indicates reliance on full scholarships or need-based financial aid.</w:t>
            </w:r>
          </w:p>
        </w:tc>
      </w:tr>
      <w:tr>
        <w:tc>
          <w:tcPr>
            <w:tcW w:type="dxa" w:w="3168"/>
            <w:tcMar>
              <w:top w:w="120" w:type="dxa"/>
              <w:bottom w:w="120" w:type="dxa"/>
              <w:left w:w="160" w:type="dxa"/>
              <w:right w:w="160" w:type="dxa"/>
            </w:tcMar>
          </w:tcPr>
          <w:p>
            <w:r>
              <w:rPr>
                <w:b/>
                <w:sz w:val="19"/>
              </w:rPr>
              <w:t>FundingSource</w:t>
            </w:r>
          </w:p>
        </w:tc>
        <w:tc>
          <w:tcPr>
            <w:tcW w:type="dxa" w:w="6768"/>
            <w:tcMar>
              <w:top w:w="120" w:type="dxa"/>
              <w:bottom w:w="120" w:type="dxa"/>
              <w:left w:w="160" w:type="dxa"/>
              <w:right w:w="160" w:type="dxa"/>
            </w:tcMar>
          </w:tcPr>
          <w:p>
            <w:pPr>
              <w:spacing w:after="40" w:line="276" w:lineRule="auto"/>
            </w:pPr>
            <w:r>
              <w:rPr>
                <w:sz w:val="19"/>
              </w:rPr>
              <w:t>• Data type: Dropdown selector.</w:t>
            </w:r>
          </w:p>
          <w:p>
            <w:pPr>
              <w:spacing w:after="40" w:line="276" w:lineRule="auto"/>
            </w:pPr>
            <w:r>
              <w:rPr>
                <w:sz w:val="19"/>
              </w:rPr>
              <w:t>• Domain values: Family Support (family_support), Personal Savings (personal_savings), Bank Loan (bank_loan), Scholarship (scholarship), Other (other).</w:t>
            </w:r>
          </w:p>
          <w:p>
            <w:pPr>
              <w:spacing w:after="40" w:line="276" w:lineRule="auto"/>
            </w:pPr>
            <w:r>
              <w:rPr>
                <w:sz w:val="19"/>
              </w:rPr>
              <w:t>• Initial value: Family Support.</w:t>
            </w:r>
          </w:p>
          <w:p>
            <w:pPr>
              <w:spacing w:after="40" w:line="276" w:lineRule="auto"/>
            </w:pPr>
            <w:r>
              <w:rPr>
                <w:sz w:val="19"/>
              </w:rPr>
              <w:t>• Requirement: Required. Declares primary educational funding channel.</w:t>
            </w:r>
          </w:p>
        </w:tc>
      </w:tr>
      <w:tr>
        <w:tc>
          <w:tcPr>
            <w:tcW w:type="dxa" w:w="3168"/>
            <w:tcMar>
              <w:top w:w="120" w:type="dxa"/>
              <w:bottom w:w="120" w:type="dxa"/>
              <w:left w:w="160" w:type="dxa"/>
              <w:right w:w="160" w:type="dxa"/>
            </w:tcMar>
          </w:tcPr>
          <w:p>
            <w:r>
              <w:rPr>
                <w:b/>
                <w:sz w:val="19"/>
              </w:rPr>
              <w:t>NeedsScholarship</w:t>
            </w:r>
          </w:p>
        </w:tc>
        <w:tc>
          <w:tcPr>
            <w:tcW w:type="dxa" w:w="6768"/>
            <w:tcMar>
              <w:top w:w="120" w:type="dxa"/>
              <w:bottom w:w="120" w:type="dxa"/>
              <w:left w:w="160" w:type="dxa"/>
              <w:right w:w="160" w:type="dxa"/>
            </w:tcMar>
          </w:tcPr>
          <w:p>
            <w:pPr>
              <w:spacing w:after="40" w:line="276" w:lineRule="auto"/>
            </w:pPr>
            <w:r>
              <w:rPr>
                <w:sz w:val="19"/>
              </w:rPr>
              <w:t>• Data type: Boolean checkbox.</w:t>
            </w:r>
          </w:p>
          <w:p>
            <w:pPr>
              <w:spacing w:after="40" w:line="276" w:lineRule="auto"/>
            </w:pPr>
            <w:r>
              <w:rPr>
                <w:sz w:val="19"/>
              </w:rPr>
              <w:t>• Initial value: true (Checked).</w:t>
            </w:r>
          </w:p>
          <w:p>
            <w:pPr>
              <w:spacing w:after="40" w:line="276" w:lineRule="auto"/>
            </w:pPr>
            <w:r>
              <w:rPr>
                <w:sz w:val="19"/>
              </w:rPr>
              <w:t>• Requirement: Optional. Flags applicant profile to prioritize institutions offering international scholarships.</w:t>
            </w:r>
          </w:p>
        </w:tc>
      </w:tr>
      <w:tr>
        <w:tc>
          <w:tcPr>
            <w:tcW w:type="dxa" w:w="3168"/>
            <w:tcMar>
              <w:top w:w="120" w:type="dxa"/>
              <w:bottom w:w="120" w:type="dxa"/>
              <w:left w:w="160" w:type="dxa"/>
              <w:right w:w="160" w:type="dxa"/>
            </w:tcMar>
          </w:tcPr>
          <w:p>
            <w:r>
              <w:rPr>
                <w:b/>
                <w:sz w:val="19"/>
              </w:rPr>
              <w:t>BtnSaveFinancial</w:t>
            </w:r>
          </w:p>
        </w:tc>
        <w:tc>
          <w:tcPr>
            <w:tcW w:type="dxa" w:w="6768"/>
            <w:tcMar>
              <w:top w:w="120" w:type="dxa"/>
              <w:bottom w:w="120" w:type="dxa"/>
              <w:left w:w="160" w:type="dxa"/>
              <w:right w:w="160" w:type="dxa"/>
            </w:tcMar>
          </w:tcPr>
          <w:p>
            <w:pPr>
              <w:spacing w:after="40" w:line="276" w:lineRule="auto"/>
            </w:pPr>
            <w:r>
              <w:rPr>
                <w:sz w:val="19"/>
              </w:rPr>
              <w:t>• Component: Action button.</w:t>
            </w:r>
          </w:p>
          <w:p>
            <w:pPr>
              <w:spacing w:after="40" w:line="276" w:lineRule="auto"/>
            </w:pPr>
            <w:r>
              <w:rPr>
                <w:sz w:val="19"/>
              </w:rPr>
              <w:t>• Behavior: Validates financial input against business rules (GBR-FIN-01, GBR-FIN-02) and persists data into student_profiles via POST /api/v1/profile/financial.</w:t>
            </w:r>
          </w:p>
        </w:tc>
      </w:tr>
      <w:tr>
        <w:tc>
          <w:tcPr>
            <w:tcW w:type="dxa" w:w="9936"/>
            <w:gridSpan w:val="2"/>
            <w:tcMar>
              <w:top w:w="120" w:type="dxa"/>
              <w:bottom w:w="120" w:type="dxa"/>
              <w:left w:w="160" w:type="dxa"/>
              <w:right w:w="160" w:type="dxa"/>
            </w:tcMar>
            <w:shd w:fill="E8EEF5"/>
          </w:tcPr>
          <w:p>
            <w:r>
              <w:rPr>
                <w:b/>
                <w:sz w:val="19"/>
              </w:rPr>
              <w:t>Group: Extracurricular Activities - Input fields for extracurricular engagements and leadership</w:t>
            </w:r>
          </w:p>
        </w:tc>
      </w:tr>
      <w:tr>
        <w:tc>
          <w:tcPr>
            <w:tcW w:type="dxa" w:w="3168"/>
            <w:tcMar>
              <w:top w:w="120" w:type="dxa"/>
              <w:bottom w:w="120" w:type="dxa"/>
              <w:left w:w="160" w:type="dxa"/>
              <w:right w:w="160" w:type="dxa"/>
            </w:tcMar>
          </w:tcPr>
          <w:p>
            <w:r>
              <w:rPr>
                <w:b/>
                <w:sz w:val="19"/>
              </w:rPr>
              <w:t>ActivityTitle</w:t>
            </w:r>
          </w:p>
        </w:tc>
        <w:tc>
          <w:tcPr>
            <w:tcW w:type="dxa" w:w="6768"/>
            <w:tcMar>
              <w:top w:w="120" w:type="dxa"/>
              <w:bottom w:w="120" w:type="dxa"/>
              <w:left w:w="160" w:type="dxa"/>
              <w:right w:w="160" w:type="dxa"/>
            </w:tcMar>
          </w:tcPr>
          <w:p>
            <w:pPr>
              <w:spacing w:after="40" w:line="276" w:lineRule="auto"/>
            </w:pPr>
            <w:r>
              <w:rPr>
                <w:sz w:val="19"/>
              </w:rPr>
              <w:t>• Data type: Text string.</w:t>
            </w:r>
          </w:p>
          <w:p>
            <w:pPr>
              <w:spacing w:after="40" w:line="276" w:lineRule="auto"/>
            </w:pPr>
            <w:r>
              <w:rPr>
                <w:sz w:val="19"/>
              </w:rPr>
              <w:t>• Length: 2 – 150 characters.</w:t>
            </w:r>
          </w:p>
          <w:p>
            <w:pPr>
              <w:spacing w:after="40" w:line="276" w:lineRule="auto"/>
            </w:pPr>
            <w:r>
              <w:rPr>
                <w:sz w:val="19"/>
              </w:rPr>
              <w:t>• Initial value: Blank.</w:t>
            </w:r>
          </w:p>
          <w:p>
            <w:pPr>
              <w:spacing w:after="40" w:line="276" w:lineRule="auto"/>
            </w:pPr>
            <w:r>
              <w:rPr>
                <w:sz w:val="19"/>
              </w:rPr>
              <w:t>• Requirement: Required. Name of extracurricular activity, club, volunteer project, or sports team.</w:t>
            </w:r>
          </w:p>
        </w:tc>
      </w:tr>
      <w:tr>
        <w:tc>
          <w:tcPr>
            <w:tcW w:type="dxa" w:w="3168"/>
            <w:tcMar>
              <w:top w:w="120" w:type="dxa"/>
              <w:bottom w:w="120" w:type="dxa"/>
              <w:left w:w="160" w:type="dxa"/>
              <w:right w:w="160" w:type="dxa"/>
            </w:tcMar>
          </w:tcPr>
          <w:p>
            <w:r>
              <w:rPr>
                <w:b/>
                <w:sz w:val="19"/>
              </w:rPr>
              <w:t>OrganizationRole</w:t>
            </w:r>
          </w:p>
        </w:tc>
        <w:tc>
          <w:tcPr>
            <w:tcW w:type="dxa" w:w="6768"/>
            <w:tcMar>
              <w:top w:w="120" w:type="dxa"/>
              <w:bottom w:w="120" w:type="dxa"/>
              <w:left w:w="160" w:type="dxa"/>
              <w:right w:w="160" w:type="dxa"/>
            </w:tcMar>
          </w:tcPr>
          <w:p>
            <w:pPr>
              <w:spacing w:after="40" w:line="276" w:lineRule="auto"/>
            </w:pPr>
            <w:r>
              <w:rPr>
                <w:sz w:val="19"/>
              </w:rPr>
              <w:t>• Data type: Text string.</w:t>
            </w:r>
          </w:p>
          <w:p>
            <w:pPr>
              <w:spacing w:after="40" w:line="276" w:lineRule="auto"/>
            </w:pPr>
            <w:r>
              <w:rPr>
                <w:sz w:val="19"/>
              </w:rPr>
              <w:t>• Max length: 100 characters.</w:t>
            </w:r>
          </w:p>
          <w:p>
            <w:pPr>
              <w:spacing w:after="40" w:line="276" w:lineRule="auto"/>
            </w:pPr>
            <w:r>
              <w:rPr>
                <w:sz w:val="19"/>
              </w:rPr>
              <w:t>• Initial value: Blank.</w:t>
            </w:r>
          </w:p>
          <w:p>
            <w:pPr>
              <w:spacing w:after="40" w:line="276" w:lineRule="auto"/>
            </w:pPr>
            <w:r>
              <w:rPr>
                <w:sz w:val="19"/>
              </w:rPr>
              <w:t>• Requirement: Optional. Sponsoring organization name and leadership or participant role held (e.g., 'Chủ nhiệm CLB', 'Trưởng ban Hậu cần').</w:t>
            </w:r>
          </w:p>
        </w:tc>
      </w:tr>
      <w:tr>
        <w:tc>
          <w:tcPr>
            <w:tcW w:type="dxa" w:w="3168"/>
            <w:tcMar>
              <w:top w:w="120" w:type="dxa"/>
              <w:bottom w:w="120" w:type="dxa"/>
              <w:left w:w="160" w:type="dxa"/>
              <w:right w:w="160" w:type="dxa"/>
            </w:tcMar>
          </w:tcPr>
          <w:p>
            <w:r>
              <w:rPr>
                <w:b/>
                <w:sz w:val="19"/>
              </w:rPr>
              <w:t>ImpactLevel</w:t>
            </w:r>
          </w:p>
        </w:tc>
        <w:tc>
          <w:tcPr>
            <w:tcW w:type="dxa" w:w="6768"/>
            <w:tcMar>
              <w:top w:w="120" w:type="dxa"/>
              <w:bottom w:w="120" w:type="dxa"/>
              <w:left w:w="160" w:type="dxa"/>
              <w:right w:w="160" w:type="dxa"/>
            </w:tcMar>
          </w:tcPr>
          <w:p>
            <w:pPr>
              <w:spacing w:after="40" w:line="276" w:lineRule="auto"/>
            </w:pPr>
            <w:r>
              <w:rPr>
                <w:sz w:val="19"/>
              </w:rPr>
              <w:t>• Data type: Dropdown selector.</w:t>
            </w:r>
          </w:p>
          <w:p>
            <w:pPr>
              <w:spacing w:after="40" w:line="276" w:lineRule="auto"/>
            </w:pPr>
            <w:r>
              <w:rPr>
                <w:sz w:val="19"/>
              </w:rPr>
              <w:t>• Domain values: 1: Cấp Trường / CLB, 2: Cấp Quận / Huyện, 3: Cấp Tỉnh / Thành phố, 4: Cấp Quốc gia, 5: Cấp Quốc tế.</w:t>
            </w:r>
          </w:p>
          <w:p>
            <w:pPr>
              <w:spacing w:after="40" w:line="276" w:lineRule="auto"/>
            </w:pPr>
            <w:r>
              <w:rPr>
                <w:sz w:val="19"/>
              </w:rPr>
              <w:t>• Initial value: 1.</w:t>
            </w:r>
          </w:p>
          <w:p>
            <w:pPr>
              <w:spacing w:after="40" w:line="276" w:lineRule="auto"/>
            </w:pPr>
            <w:r>
              <w:rPr>
                <w:sz w:val="19"/>
              </w:rPr>
              <w:t>• Requirement: Required (GBR-ACT-01). Scope of influence for holistic admission scoring.</w:t>
            </w:r>
          </w:p>
        </w:tc>
      </w:tr>
      <w:tr>
        <w:tc>
          <w:tcPr>
            <w:tcW w:type="dxa" w:w="3168"/>
            <w:tcMar>
              <w:top w:w="120" w:type="dxa"/>
              <w:bottom w:w="120" w:type="dxa"/>
              <w:left w:w="160" w:type="dxa"/>
              <w:right w:w="160" w:type="dxa"/>
            </w:tcMar>
          </w:tcPr>
          <w:p>
            <w:r>
              <w:rPr>
                <w:b/>
                <w:sz w:val="19"/>
              </w:rPr>
              <w:t>DurationMonths</w:t>
            </w:r>
          </w:p>
        </w:tc>
        <w:tc>
          <w:tcPr>
            <w:tcW w:type="dxa" w:w="6768"/>
            <w:tcMar>
              <w:top w:w="120" w:type="dxa"/>
              <w:bottom w:w="120" w:type="dxa"/>
              <w:left w:w="160" w:type="dxa"/>
              <w:right w:w="160" w:type="dxa"/>
            </w:tcMar>
          </w:tcPr>
          <w:p>
            <w:pPr>
              <w:spacing w:after="40" w:line="276" w:lineRule="auto"/>
            </w:pPr>
            <w:r>
              <w:rPr>
                <w:sz w:val="19"/>
              </w:rPr>
              <w:t>• Data type: Positive integer number.</w:t>
            </w:r>
          </w:p>
          <w:p>
            <w:pPr>
              <w:spacing w:after="40" w:line="276" w:lineRule="auto"/>
            </w:pPr>
            <w:r>
              <w:rPr>
                <w:sz w:val="19"/>
              </w:rPr>
              <w:t>• Range: 1 – 120 months.</w:t>
            </w:r>
          </w:p>
          <w:p>
            <w:pPr>
              <w:spacing w:after="40" w:line="276" w:lineRule="auto"/>
            </w:pPr>
            <w:r>
              <w:rPr>
                <w:sz w:val="19"/>
              </w:rPr>
              <w:t>• Initial value: Blank.</w:t>
            </w:r>
          </w:p>
          <w:p>
            <w:pPr>
              <w:spacing w:after="40" w:line="276" w:lineRule="auto"/>
            </w:pPr>
            <w:r>
              <w:rPr>
                <w:sz w:val="19"/>
              </w:rPr>
              <w:t>• Requirement: Optional. Total duration of commitment in months.</w:t>
            </w:r>
          </w:p>
        </w:tc>
      </w:tr>
      <w:tr>
        <w:tc>
          <w:tcPr>
            <w:tcW w:type="dxa" w:w="3168"/>
            <w:tcMar>
              <w:top w:w="120" w:type="dxa"/>
              <w:bottom w:w="120" w:type="dxa"/>
              <w:left w:w="160" w:type="dxa"/>
              <w:right w:w="160" w:type="dxa"/>
            </w:tcMar>
          </w:tcPr>
          <w:p>
            <w:r>
              <w:rPr>
                <w:b/>
                <w:sz w:val="19"/>
              </w:rPr>
              <w:t>ActivityDescription</w:t>
            </w:r>
          </w:p>
        </w:tc>
        <w:tc>
          <w:tcPr>
            <w:tcW w:type="dxa" w:w="6768"/>
            <w:tcMar>
              <w:top w:w="120" w:type="dxa"/>
              <w:bottom w:w="120" w:type="dxa"/>
              <w:left w:w="160" w:type="dxa"/>
              <w:right w:w="160" w:type="dxa"/>
            </w:tcMar>
          </w:tcPr>
          <w:p>
            <w:pPr>
              <w:spacing w:after="40" w:line="276" w:lineRule="auto"/>
            </w:pPr>
            <w:r>
              <w:rPr>
                <w:sz w:val="19"/>
              </w:rPr>
              <w:t>• Data type: Textarea string.</w:t>
            </w:r>
          </w:p>
          <w:p>
            <w:pPr>
              <w:spacing w:after="40" w:line="276" w:lineRule="auto"/>
            </w:pPr>
            <w:r>
              <w:rPr>
                <w:sz w:val="19"/>
              </w:rPr>
              <w:t>• Max length: 1,000 characters.</w:t>
            </w:r>
          </w:p>
          <w:p>
            <w:pPr>
              <w:spacing w:after="40" w:line="276" w:lineRule="auto"/>
            </w:pPr>
            <w:r>
              <w:rPr>
                <w:sz w:val="19"/>
              </w:rPr>
              <w:t>• Initial value: Blank.</w:t>
            </w:r>
          </w:p>
          <w:p>
            <w:pPr>
              <w:spacing w:after="40" w:line="276" w:lineRule="auto"/>
            </w:pPr>
            <w:r>
              <w:rPr>
                <w:sz w:val="19"/>
              </w:rPr>
              <w:t>• Requirement: Optional. Detailed description of responsibilities, initiatives, and measurable outcomes.</w:t>
            </w:r>
          </w:p>
        </w:tc>
      </w:tr>
      <w:tr>
        <w:tc>
          <w:tcPr>
            <w:tcW w:type="dxa" w:w="3168"/>
            <w:tcMar>
              <w:top w:w="120" w:type="dxa"/>
              <w:bottom w:w="120" w:type="dxa"/>
              <w:left w:w="160" w:type="dxa"/>
              <w:right w:w="160" w:type="dxa"/>
            </w:tcMar>
          </w:tcPr>
          <w:p>
            <w:r>
              <w:rPr>
                <w:b/>
                <w:sz w:val="19"/>
              </w:rPr>
              <w:t>BtnAddActivity</w:t>
            </w:r>
          </w:p>
        </w:tc>
        <w:tc>
          <w:tcPr>
            <w:tcW w:type="dxa" w:w="6768"/>
            <w:tcMar>
              <w:top w:w="120" w:type="dxa"/>
              <w:bottom w:w="120" w:type="dxa"/>
              <w:left w:w="160" w:type="dxa"/>
              <w:right w:w="160" w:type="dxa"/>
            </w:tcMar>
          </w:tcPr>
          <w:p>
            <w:pPr>
              <w:spacing w:after="40" w:line="276" w:lineRule="auto"/>
            </w:pPr>
            <w:r>
              <w:rPr>
                <w:sz w:val="19"/>
              </w:rPr>
              <w:t>• Component: Action button.</w:t>
            </w:r>
          </w:p>
          <w:p>
            <w:pPr>
              <w:spacing w:after="40" w:line="276" w:lineRule="auto"/>
            </w:pPr>
            <w:r>
              <w:rPr>
                <w:sz w:val="19"/>
              </w:rPr>
              <w:t>• Behavior: Validates input and persists activity record into profile_activities (kind = 'extracurricular').</w:t>
            </w:r>
          </w:p>
        </w:tc>
      </w:tr>
      <w:tr>
        <w:tc>
          <w:tcPr>
            <w:tcW w:type="dxa" w:w="3168"/>
            <w:tcMar>
              <w:top w:w="120" w:type="dxa"/>
              <w:bottom w:w="120" w:type="dxa"/>
              <w:left w:w="160" w:type="dxa"/>
              <w:right w:w="160" w:type="dxa"/>
            </w:tcMar>
          </w:tcPr>
          <w:p>
            <w:r>
              <w:rPr>
                <w:b/>
                <w:sz w:val="19"/>
              </w:rPr>
              <w:t>BtnDeleteActivity</w:t>
            </w:r>
          </w:p>
        </w:tc>
        <w:tc>
          <w:tcPr>
            <w:tcW w:type="dxa" w:w="6768"/>
            <w:tcMar>
              <w:top w:w="120" w:type="dxa"/>
              <w:bottom w:w="120" w:type="dxa"/>
              <w:left w:w="160" w:type="dxa"/>
              <w:right w:w="160" w:type="dxa"/>
            </w:tcMar>
          </w:tcPr>
          <w:p>
            <w:pPr>
              <w:spacing w:after="40" w:line="276" w:lineRule="auto"/>
            </w:pPr>
            <w:r>
              <w:rPr>
                <w:sz w:val="19"/>
              </w:rPr>
              <w:t>• Component: Icon action button.</w:t>
            </w:r>
          </w:p>
          <w:p>
            <w:pPr>
              <w:spacing w:after="40" w:line="276" w:lineRule="auto"/>
            </w:pPr>
            <w:r>
              <w:rPr>
                <w:sz w:val="19"/>
              </w:rPr>
              <w:t>• Behavior: Dispatches DELETE /api/v1/profile/activities/{id} to remove activity record (HTTP 204 No Content).</w:t>
            </w:r>
          </w:p>
        </w:tc>
      </w:tr>
      <w:tr>
        <w:tc>
          <w:tcPr>
            <w:tcW w:type="dxa" w:w="9936"/>
            <w:gridSpan w:val="2"/>
            <w:tcMar>
              <w:top w:w="120" w:type="dxa"/>
              <w:bottom w:w="120" w:type="dxa"/>
              <w:left w:w="160" w:type="dxa"/>
              <w:right w:w="160" w:type="dxa"/>
            </w:tcMar>
            <w:shd w:fill="E8EEF5"/>
          </w:tcPr>
          <w:p>
            <w:r>
              <w:rPr>
                <w:b/>
                <w:sz w:val="19"/>
              </w:rPr>
              <w:t>Group: Achievements &amp; Awards - Input fields for academic honors, certifications, and research</w:t>
            </w:r>
          </w:p>
        </w:tc>
      </w:tr>
      <w:tr>
        <w:tc>
          <w:tcPr>
            <w:tcW w:type="dxa" w:w="3168"/>
            <w:tcMar>
              <w:top w:w="120" w:type="dxa"/>
              <w:bottom w:w="120" w:type="dxa"/>
              <w:left w:w="160" w:type="dxa"/>
              <w:right w:w="160" w:type="dxa"/>
            </w:tcMar>
          </w:tcPr>
          <w:p>
            <w:r>
              <w:rPr>
                <w:b/>
                <w:sz w:val="19"/>
              </w:rPr>
              <w:t>AwardTitle</w:t>
            </w:r>
          </w:p>
        </w:tc>
        <w:tc>
          <w:tcPr>
            <w:tcW w:type="dxa" w:w="6768"/>
            <w:tcMar>
              <w:top w:w="120" w:type="dxa"/>
              <w:bottom w:w="120" w:type="dxa"/>
              <w:left w:w="160" w:type="dxa"/>
              <w:right w:w="160" w:type="dxa"/>
            </w:tcMar>
          </w:tcPr>
          <w:p>
            <w:pPr>
              <w:spacing w:after="40" w:line="276" w:lineRule="auto"/>
            </w:pPr>
            <w:r>
              <w:rPr>
                <w:sz w:val="19"/>
              </w:rPr>
              <w:t>• Data type: Text string.</w:t>
            </w:r>
          </w:p>
          <w:p>
            <w:pPr>
              <w:spacing w:after="40" w:line="276" w:lineRule="auto"/>
            </w:pPr>
            <w:r>
              <w:rPr>
                <w:sz w:val="19"/>
              </w:rPr>
              <w:t>• Length: 2 – 150 characters.</w:t>
            </w:r>
          </w:p>
          <w:p>
            <w:pPr>
              <w:spacing w:after="40" w:line="276" w:lineRule="auto"/>
            </w:pPr>
            <w:r>
              <w:rPr>
                <w:sz w:val="19"/>
              </w:rPr>
              <w:t>• Initial value: Blank.</w:t>
            </w:r>
          </w:p>
          <w:p>
            <w:pPr>
              <w:spacing w:after="40" w:line="276" w:lineRule="auto"/>
            </w:pPr>
            <w:r>
              <w:rPr>
                <w:sz w:val="19"/>
              </w:rPr>
              <w:t>• Requirement: Required. Title of competition award, scholastic honor, standardized credential, or research publication (e.g., 'Giải Nhì HSG Quốc Gia môn Toán', 'Chứng chỉ SAT 1520').</w:t>
            </w:r>
          </w:p>
        </w:tc>
      </w:tr>
      <w:tr>
        <w:tc>
          <w:tcPr>
            <w:tcW w:type="dxa" w:w="3168"/>
            <w:tcMar>
              <w:top w:w="120" w:type="dxa"/>
              <w:bottom w:w="120" w:type="dxa"/>
              <w:left w:w="160" w:type="dxa"/>
              <w:right w:w="160" w:type="dxa"/>
            </w:tcMar>
          </w:tcPr>
          <w:p>
            <w:r>
              <w:rPr>
                <w:b/>
                <w:sz w:val="19"/>
              </w:rPr>
              <w:t>Issuer</w:t>
            </w:r>
          </w:p>
        </w:tc>
        <w:tc>
          <w:tcPr>
            <w:tcW w:type="dxa" w:w="6768"/>
            <w:tcMar>
              <w:top w:w="120" w:type="dxa"/>
              <w:bottom w:w="120" w:type="dxa"/>
              <w:left w:w="160" w:type="dxa"/>
              <w:right w:w="160" w:type="dxa"/>
            </w:tcMar>
          </w:tcPr>
          <w:p>
            <w:pPr>
              <w:spacing w:after="40" w:line="276" w:lineRule="auto"/>
            </w:pPr>
            <w:r>
              <w:rPr>
                <w:sz w:val="19"/>
              </w:rPr>
              <w:t>• Data type: Text string.</w:t>
            </w:r>
          </w:p>
          <w:p>
            <w:pPr>
              <w:spacing w:after="40" w:line="276" w:lineRule="auto"/>
            </w:pPr>
            <w:r>
              <w:rPr>
                <w:sz w:val="19"/>
              </w:rPr>
              <w:t>• Max length: 150 characters.</w:t>
            </w:r>
          </w:p>
          <w:p>
            <w:pPr>
              <w:spacing w:after="40" w:line="276" w:lineRule="auto"/>
            </w:pPr>
            <w:r>
              <w:rPr>
                <w:sz w:val="19"/>
              </w:rPr>
              <w:t>• Initial value: Blank.</w:t>
            </w:r>
          </w:p>
          <w:p>
            <w:pPr>
              <w:spacing w:after="40" w:line="276" w:lineRule="auto"/>
            </w:pPr>
            <w:r>
              <w:rPr>
                <w:sz w:val="19"/>
              </w:rPr>
              <w:t>• Requirement: Required. Issuing organization, contest committee, or university (e.g., 'Bộ Giáo dục và Đào tạo', 'College Board').</w:t>
            </w:r>
          </w:p>
        </w:tc>
      </w:tr>
      <w:tr>
        <w:tc>
          <w:tcPr>
            <w:tcW w:type="dxa" w:w="3168"/>
            <w:tcMar>
              <w:top w:w="120" w:type="dxa"/>
              <w:bottom w:w="120" w:type="dxa"/>
              <w:left w:w="160" w:type="dxa"/>
              <w:right w:w="160" w:type="dxa"/>
            </w:tcMar>
          </w:tcPr>
          <w:p>
            <w:r>
              <w:rPr>
                <w:b/>
                <w:sz w:val="19"/>
              </w:rPr>
              <w:t>IssueDate</w:t>
            </w:r>
          </w:p>
        </w:tc>
        <w:tc>
          <w:tcPr>
            <w:tcW w:type="dxa" w:w="6768"/>
            <w:tcMar>
              <w:top w:w="120" w:type="dxa"/>
              <w:bottom w:w="120" w:type="dxa"/>
              <w:left w:w="160" w:type="dxa"/>
              <w:right w:w="160" w:type="dxa"/>
            </w:tcMar>
          </w:tcPr>
          <w:p>
            <w:pPr>
              <w:spacing w:after="40" w:line="276" w:lineRule="auto"/>
            </w:pPr>
            <w:r>
              <w:rPr>
                <w:sz w:val="19"/>
              </w:rPr>
              <w:t>• Data type: Text / Month-Year picker.</w:t>
            </w:r>
          </w:p>
          <w:p>
            <w:pPr>
              <w:spacing w:after="40" w:line="276" w:lineRule="auto"/>
            </w:pPr>
            <w:r>
              <w:rPr>
                <w:sz w:val="19"/>
              </w:rPr>
              <w:t>• Format: MM/YYYY.</w:t>
            </w:r>
          </w:p>
          <w:p>
            <w:pPr>
              <w:spacing w:after="40" w:line="276" w:lineRule="auto"/>
            </w:pPr>
            <w:r>
              <w:rPr>
                <w:sz w:val="19"/>
              </w:rPr>
              <w:t>• Initial value: Blank.</w:t>
            </w:r>
          </w:p>
          <w:p>
            <w:pPr>
              <w:spacing w:after="40" w:line="276" w:lineRule="auto"/>
            </w:pPr>
            <w:r>
              <w:rPr>
                <w:sz w:val="19"/>
              </w:rPr>
              <w:t>• Requirement: Optional. Month and year of award receipt or certificate issuance.</w:t>
            </w:r>
          </w:p>
        </w:tc>
      </w:tr>
      <w:tr>
        <w:tc>
          <w:tcPr>
            <w:tcW w:type="dxa" w:w="3168"/>
            <w:tcMar>
              <w:top w:w="120" w:type="dxa"/>
              <w:bottom w:w="120" w:type="dxa"/>
              <w:left w:w="160" w:type="dxa"/>
              <w:right w:w="160" w:type="dxa"/>
            </w:tcMar>
          </w:tcPr>
          <w:p>
            <w:r>
              <w:rPr>
                <w:b/>
                <w:sz w:val="19"/>
              </w:rPr>
              <w:t>AwardDescription</w:t>
            </w:r>
          </w:p>
        </w:tc>
        <w:tc>
          <w:tcPr>
            <w:tcW w:type="dxa" w:w="6768"/>
            <w:tcMar>
              <w:top w:w="120" w:type="dxa"/>
              <w:bottom w:w="120" w:type="dxa"/>
              <w:left w:w="160" w:type="dxa"/>
              <w:right w:w="160" w:type="dxa"/>
            </w:tcMar>
          </w:tcPr>
          <w:p>
            <w:pPr>
              <w:spacing w:after="40" w:line="276" w:lineRule="auto"/>
            </w:pPr>
            <w:r>
              <w:rPr>
                <w:sz w:val="19"/>
              </w:rPr>
              <w:t>• Data type: Textarea string.</w:t>
            </w:r>
          </w:p>
          <w:p>
            <w:pPr>
              <w:spacing w:after="40" w:line="276" w:lineRule="auto"/>
            </w:pPr>
            <w:r>
              <w:rPr>
                <w:sz w:val="19"/>
              </w:rPr>
              <w:t>• Max length: 1,000 characters.</w:t>
            </w:r>
          </w:p>
          <w:p>
            <w:pPr>
              <w:spacing w:after="40" w:line="276" w:lineRule="auto"/>
            </w:pPr>
            <w:r>
              <w:rPr>
                <w:sz w:val="19"/>
              </w:rPr>
              <w:t>• Initial value: Blank.</w:t>
            </w:r>
          </w:p>
          <w:p>
            <w:pPr>
              <w:spacing w:after="40" w:line="276" w:lineRule="auto"/>
            </w:pPr>
            <w:r>
              <w:rPr>
                <w:sz w:val="19"/>
              </w:rPr>
              <w:t>• Requirement: Optional. Details regarding prize ranking (First Place, Gold Medal, Top 1%), score breakdown, or paper topic.</w:t>
            </w:r>
          </w:p>
        </w:tc>
      </w:tr>
      <w:tr>
        <w:tc>
          <w:tcPr>
            <w:tcW w:type="dxa" w:w="3168"/>
            <w:tcMar>
              <w:top w:w="120" w:type="dxa"/>
              <w:bottom w:w="120" w:type="dxa"/>
              <w:left w:w="160" w:type="dxa"/>
              <w:right w:w="160" w:type="dxa"/>
            </w:tcMar>
          </w:tcPr>
          <w:p>
            <w:r>
              <w:rPr>
                <w:b/>
                <w:sz w:val="19"/>
              </w:rPr>
              <w:t>BtnAddAward</w:t>
            </w:r>
          </w:p>
        </w:tc>
        <w:tc>
          <w:tcPr>
            <w:tcW w:type="dxa" w:w="6768"/>
            <w:tcMar>
              <w:top w:w="120" w:type="dxa"/>
              <w:bottom w:w="120" w:type="dxa"/>
              <w:left w:w="160" w:type="dxa"/>
              <w:right w:w="160" w:type="dxa"/>
            </w:tcMar>
          </w:tcPr>
          <w:p>
            <w:pPr>
              <w:spacing w:after="40" w:line="276" w:lineRule="auto"/>
            </w:pPr>
            <w:r>
              <w:rPr>
                <w:sz w:val="19"/>
              </w:rPr>
              <w:t>• Component: Action button.</w:t>
            </w:r>
          </w:p>
          <w:p>
            <w:pPr>
              <w:spacing w:after="40" w:line="276" w:lineRule="auto"/>
            </w:pPr>
            <w:r>
              <w:rPr>
                <w:sz w:val="19"/>
              </w:rPr>
              <w:t>• Behavior: Validates input and persists award record into profile_activities (kind = 'award').</w:t>
            </w:r>
          </w:p>
        </w:tc>
      </w:tr>
      <w:tr>
        <w:tc>
          <w:tcPr>
            <w:tcW w:type="dxa" w:w="3168"/>
            <w:tcMar>
              <w:top w:w="120" w:type="dxa"/>
              <w:bottom w:w="120" w:type="dxa"/>
              <w:left w:w="160" w:type="dxa"/>
              <w:right w:w="160" w:type="dxa"/>
            </w:tcMar>
          </w:tcPr>
          <w:p>
            <w:r>
              <w:rPr>
                <w:b/>
                <w:sz w:val="19"/>
              </w:rPr>
              <w:t>BtnDeleteAward</w:t>
            </w:r>
          </w:p>
        </w:tc>
        <w:tc>
          <w:tcPr>
            <w:tcW w:type="dxa" w:w="6768"/>
            <w:tcMar>
              <w:top w:w="120" w:type="dxa"/>
              <w:bottom w:w="120" w:type="dxa"/>
              <w:left w:w="160" w:type="dxa"/>
              <w:right w:w="160" w:type="dxa"/>
            </w:tcMar>
          </w:tcPr>
          <w:p>
            <w:pPr>
              <w:spacing w:after="40" w:line="276" w:lineRule="auto"/>
            </w:pPr>
            <w:r>
              <w:rPr>
                <w:sz w:val="19"/>
              </w:rPr>
              <w:t>• Component: Icon action button.</w:t>
            </w:r>
          </w:p>
          <w:p>
            <w:pPr>
              <w:spacing w:after="40" w:line="276" w:lineRule="auto"/>
            </w:pPr>
            <w:r>
              <w:rPr>
                <w:sz w:val="19"/>
              </w:rPr>
              <w:t>• Behavior: Dispatches DELETE /api/v1/profile/activities/{id} to remove award record (HTTP 204 No Content).</w:t>
            </w:r>
          </w:p>
        </w:tc>
      </w:tr>
    </w:tbl>
    <w:p>
      <w:r>
        <w:br w:type="page"/>
      </w:r>
    </w:p>
    <w:p>
      <w:pPr>
        <w:pStyle w:val="Heading2"/>
      </w:pPr>
      <w:r>
        <w:t>1.4 Academic Performance Analysis &amp; GPA Conversion</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968"/>
        <w:gridCol w:w="4968"/>
      </w:tblGrid>
      <w:tr>
        <w:tc>
          <w:tcPr>
            <w:tcW w:type="dxa" w:w="2592"/>
            <w:shd w:fill="F2F2F2"/>
            <w:tcMar>
              <w:top w:w="120" w:type="dxa"/>
              <w:bottom w:w="120" w:type="dxa"/>
              <w:left w:w="160" w:type="dxa"/>
              <w:right w:w="160" w:type="dxa"/>
            </w:tcMar>
          </w:tcPr>
          <w:p>
            <w:r>
              <w:rPr>
                <w:b/>
              </w:rPr>
              <w:t>Section</w:t>
            </w:r>
          </w:p>
        </w:tc>
        <w:tc>
          <w:tcPr>
            <w:tcW w:type="dxa" w:w="7344"/>
            <w:shd w:fill="F2F2F2"/>
            <w:tcMar>
              <w:top w:w="120" w:type="dxa"/>
              <w:bottom w:w="120" w:type="dxa"/>
              <w:left w:w="160" w:type="dxa"/>
              <w:right w:w="160" w:type="dxa"/>
            </w:tcMar>
          </w:tcPr>
          <w:p>
            <w:r>
              <w:rPr>
                <w:b/>
              </w:rPr>
              <w:t>Detail Specification</w:t>
            </w:r>
          </w:p>
        </w:tc>
      </w:tr>
      <w:tr>
        <w:tc>
          <w:tcPr>
            <w:tcW w:type="dxa" w:w="2592"/>
            <w:tcMar>
              <w:top w:w="120" w:type="dxa"/>
              <w:bottom w:w="120" w:type="dxa"/>
              <w:left w:w="160" w:type="dxa"/>
              <w:right w:w="160" w:type="dxa"/>
            </w:tcMar>
          </w:tcPr>
          <w:p>
            <w:r>
              <w:rPr>
                <w:b/>
                <w:sz w:val="19"/>
              </w:rPr>
              <w:t>Primary Actors</w:t>
            </w:r>
          </w:p>
        </w:tc>
        <w:tc>
          <w:tcPr>
            <w:tcW w:type="dxa" w:w="7344"/>
            <w:tcMar>
              <w:top w:w="120" w:type="dxa"/>
              <w:bottom w:w="120" w:type="dxa"/>
              <w:left w:w="160" w:type="dxa"/>
              <w:right w:w="160" w:type="dxa"/>
            </w:tcMar>
          </w:tcPr>
          <w:p>
            <w:pPr>
              <w:spacing w:after="40" w:line="276" w:lineRule="auto"/>
            </w:pPr>
            <w:r>
              <w:rPr>
                <w:sz w:val="19"/>
              </w:rPr>
              <w:t>Student</w:t>
            </w:r>
          </w:p>
        </w:tc>
      </w:tr>
      <w:tr>
        <w:tc>
          <w:tcPr>
            <w:tcW w:type="dxa" w:w="2592"/>
            <w:tcMar>
              <w:top w:w="120" w:type="dxa"/>
              <w:bottom w:w="120" w:type="dxa"/>
              <w:left w:w="160" w:type="dxa"/>
              <w:right w:w="160" w:type="dxa"/>
            </w:tcMar>
          </w:tcPr>
          <w:p>
            <w:r>
              <w:rPr>
                <w:b/>
                <w:sz w:val="19"/>
              </w:rPr>
              <w:t>Secondary Actors</w:t>
            </w:r>
          </w:p>
        </w:tc>
        <w:tc>
          <w:tcPr>
            <w:tcW w:type="dxa" w:w="7344"/>
            <w:tcMar>
              <w:top w:w="120" w:type="dxa"/>
              <w:bottom w:w="120" w:type="dxa"/>
              <w:left w:w="160" w:type="dxa"/>
              <w:right w:w="160" w:type="dxa"/>
            </w:tcMar>
          </w:tcPr>
          <w:p>
            <w:pPr>
              <w:spacing w:after="40" w:line="276" w:lineRule="auto"/>
            </w:pPr>
            <w:r>
              <w:rPr>
                <w:sz w:val="19"/>
              </w:rPr>
              <w:t>None</w:t>
            </w:r>
          </w:p>
        </w:tc>
      </w:tr>
      <w:tr>
        <w:tc>
          <w:tcPr>
            <w:tcW w:type="dxa" w:w="2592"/>
            <w:tcMar>
              <w:top w:w="120" w:type="dxa"/>
              <w:bottom w:w="120" w:type="dxa"/>
              <w:left w:w="160" w:type="dxa"/>
              <w:right w:w="160" w:type="dxa"/>
            </w:tcMar>
          </w:tcPr>
          <w:p>
            <w:r>
              <w:rPr>
                <w:b/>
                <w:sz w:val="19"/>
              </w:rPr>
              <w:t>Description</w:t>
            </w:r>
          </w:p>
        </w:tc>
        <w:tc>
          <w:tcPr>
            <w:tcW w:type="dxa" w:w="7344"/>
            <w:tcMar>
              <w:top w:w="120" w:type="dxa"/>
              <w:bottom w:w="120" w:type="dxa"/>
              <w:left w:w="160" w:type="dxa"/>
              <w:right w:w="160" w:type="dxa"/>
            </w:tcMar>
          </w:tcPr>
          <w:p>
            <w:pPr>
              <w:spacing w:after="40" w:line="276" w:lineRule="auto"/>
            </w:pPr>
            <w:r>
              <w:rPr>
                <w:sz w:val="19"/>
              </w:rPr>
              <w:t>As a user, I want to input my transcript grades across semesters (high school or college) and trigger automated academic evaluation so that I can view my WES 4.0 standard GPA, subject group proficiencies, and 3-year academic growth trends.</w:t>
            </w:r>
          </w:p>
        </w:tc>
      </w:tr>
      <w:tr>
        <w:tc>
          <w:tcPr>
            <w:tcW w:type="dxa" w:w="2592"/>
            <w:tcMar>
              <w:top w:w="120" w:type="dxa"/>
              <w:bottom w:w="120" w:type="dxa"/>
              <w:left w:w="160" w:type="dxa"/>
              <w:right w:w="160" w:type="dxa"/>
            </w:tcMar>
          </w:tcPr>
          <w:p>
            <w:r>
              <w:rPr>
                <w:b/>
                <w:sz w:val="19"/>
              </w:rPr>
              <w:t>Preconditions</w:t>
            </w:r>
          </w:p>
        </w:tc>
        <w:tc>
          <w:tcPr>
            <w:tcW w:type="dxa" w:w="7344"/>
            <w:tcMar>
              <w:top w:w="120" w:type="dxa"/>
              <w:bottom w:w="120" w:type="dxa"/>
              <w:left w:w="160" w:type="dxa"/>
              <w:right w:w="160" w:type="dxa"/>
            </w:tcMar>
          </w:tcPr>
          <w:p>
            <w:pPr>
              <w:spacing w:after="40" w:line="276" w:lineRule="auto"/>
            </w:pPr>
            <w:r>
              <w:rPr>
                <w:sz w:val="19"/>
              </w:rPr>
              <w:t>User account has been created &amp; authorized, and user has logged into the system.</w:t>
            </w:r>
          </w:p>
        </w:tc>
      </w:tr>
      <w:tr>
        <w:tc>
          <w:tcPr>
            <w:tcW w:type="dxa" w:w="2592"/>
            <w:tcMar>
              <w:top w:w="120" w:type="dxa"/>
              <w:bottom w:w="120" w:type="dxa"/>
              <w:left w:w="160" w:type="dxa"/>
              <w:right w:w="160" w:type="dxa"/>
            </w:tcMar>
          </w:tcPr>
          <w:p>
            <w:r>
              <w:rPr>
                <w:b/>
                <w:sz w:val="19"/>
              </w:rPr>
              <w:t>Normal Flow</w:t>
            </w:r>
          </w:p>
        </w:tc>
        <w:tc>
          <w:tcPr>
            <w:tcW w:type="dxa" w:w="7344"/>
            <w:tcMar>
              <w:top w:w="120" w:type="dxa"/>
              <w:bottom w:w="120" w:type="dxa"/>
              <w:left w:w="160" w:type="dxa"/>
              <w:right w:w="160" w:type="dxa"/>
            </w:tcMar>
          </w:tcPr>
          <w:p>
            <w:pPr>
              <w:spacing w:after="40" w:line="276" w:lineRule="auto"/>
            </w:pPr>
            <w:r>
              <w:rPr>
                <w:sz w:val="19"/>
              </w:rPr>
              <w:t>Academic Performance Analysis &amp; GPA Conversion</w:t>
            </w:r>
          </w:p>
          <w:p>
            <w:pPr>
              <w:spacing w:after="40" w:line="276" w:lineRule="auto"/>
            </w:pPr>
            <w:r>
              <w:rPr>
                <w:sz w:val="19"/>
              </w:rPr>
              <w:t>1. User clicks Academic Analysis menu from the page header or navigation bar.</w:t>
            </w:r>
          </w:p>
          <w:p>
            <w:pPr>
              <w:spacing w:after="40" w:line="276" w:lineRule="auto"/>
            </w:pPr>
            <w:r>
              <w:rPr>
                <w:sz w:val="19"/>
              </w:rPr>
              <w:t>2. System shows the Academic Records &amp; Analysis screen (/profile/academic) with education level switcher (High School vs. University/College).</w:t>
            </w:r>
          </w:p>
          <w:p>
            <w:pPr>
              <w:spacing w:after="40" w:line="276" w:lineRule="auto"/>
            </w:pPr>
            <w:r>
              <w:rPr>
                <w:sz w:val="19"/>
              </w:rPr>
              <w:t>3. User selects an academic semester (e.g., Grade 10 Semester 1 through Grade 12 Semester 2) and types in subject name, grade on 0.00 – 10.00 scale, and optional credit weights.</w:t>
            </w:r>
          </w:p>
          <w:p>
            <w:pPr>
              <w:spacing w:after="40" w:line="276" w:lineRule="auto"/>
            </w:pPr>
            <w:r>
              <w:rPr>
                <w:sz w:val="19"/>
              </w:rPr>
              <w:t>4. User clicks Add Subject to append course rows, or clicks Load Standard Template to fast-fill 3-year curriculum.</w:t>
            </w:r>
          </w:p>
          <w:p>
            <w:pPr>
              <w:spacing w:after="40" w:line="276" w:lineRule="auto"/>
            </w:pPr>
            <w:r>
              <w:rPr>
                <w:sz w:val="19"/>
              </w:rPr>
              <w:t>5. User clicks the 'Phân tích điểm học thuật' (Analyze Academic Profile) button.</w:t>
            </w:r>
          </w:p>
          <w:p>
            <w:pPr>
              <w:spacing w:after="40" w:line="276" w:lineRule="auto"/>
            </w:pPr>
            <w:r>
              <w:rPr>
                <w:sz w:val="19"/>
              </w:rPr>
              <w:t>6. System validates the academic scores, score boundaries, and semester sequence (GBR-ACAD-01).</w:t>
            </w:r>
          </w:p>
          <w:p>
            <w:pPr>
              <w:spacing w:after="40" w:line="276" w:lineRule="auto"/>
            </w:pPr>
            <w:r>
              <w:rPr>
                <w:sz w:val="19"/>
              </w:rPr>
              <w:t>7. System calculates cumulative raw average on 10.0 scale.</w:t>
            </w:r>
          </w:p>
          <w:p>
            <w:pPr>
              <w:spacing w:after="40" w:line="276" w:lineRule="auto"/>
            </w:pPr>
            <w:r>
              <w:rPr>
                <w:sz w:val="19"/>
              </w:rPr>
              <w:t>8. System converts Vietnamese grades to US 4.0 standard GPA following WES standards (GBR-ACAD-02) configured in app_settings.</w:t>
            </w:r>
          </w:p>
          <w:p>
            <w:pPr>
              <w:spacing w:after="40" w:line="276" w:lineRule="auto"/>
            </w:pPr>
            <w:r>
              <w:rPr>
                <w:sz w:val="19"/>
              </w:rPr>
              <w:t>9. System calculates Unweighted GPA (arithmetic mean) and Weighted GPA (credit-weighted or honors/advanced course +0.5 bonus up to 4.50) (GBR-ACAD-03).</w:t>
            </w:r>
          </w:p>
          <w:p>
            <w:pPr>
              <w:spacing w:after="40" w:line="276" w:lineRule="auto"/>
            </w:pPr>
            <w:r>
              <w:rPr>
                <w:sz w:val="19"/>
              </w:rPr>
              <w:t>10. System computes subject group scores: STEM Average, Social Sciences Average, and Languages Average.</w:t>
            </w:r>
          </w:p>
          <w:p>
            <w:pPr>
              <w:spacing w:after="40" w:line="276" w:lineRule="auto"/>
            </w:pPr>
            <w:r>
              <w:rPr>
                <w:sz w:val="19"/>
              </w:rPr>
              <w:t>11. System evaluates the multi-term academic trajectory (Upward trend, Consistent, Downward trend, or Insufficient data) (GBR-ACAD-04).</w:t>
            </w:r>
          </w:p>
          <w:p>
            <w:pPr>
              <w:spacing w:after="40" w:line="276" w:lineRule="auto"/>
            </w:pPr>
            <w:r>
              <w:rPr>
                <w:sz w:val="19"/>
              </w:rPr>
              <w:t>12. System saves calculated metrics into analysis_results (kind = 'gpa') and automatically synchronizes student_profiles.overall_gpa (GBR-ACAD-05).</w:t>
            </w:r>
          </w:p>
          <w:p>
            <w:pPr>
              <w:spacing w:after="40" w:line="276" w:lineRule="auto"/>
            </w:pPr>
            <w:r>
              <w:rPr>
                <w:sz w:val="19"/>
              </w:rPr>
              <w:t>13. System tracks calculation and analysis results into the Activity Log.</w:t>
            </w:r>
          </w:p>
          <w:p>
            <w:pPr>
              <w:spacing w:after="40" w:line="276" w:lineRule="auto"/>
            </w:pPr>
            <w:r>
              <w:rPr>
                <w:sz w:val="19"/>
              </w:rPr>
              <w:t>14. System shows the comprehensive Executive Summary &amp; Analytics Dashboard (WES 4.0 GPA, Subject Group Breakdown chart, Term Trend Chart, and Growth Mindset Badge) with success message (MSG-ANALYZE-OK).</w:t>
            </w:r>
          </w:p>
        </w:tc>
      </w:tr>
      <w:tr>
        <w:tc>
          <w:tcPr>
            <w:tcW w:type="dxa" w:w="2592"/>
            <w:tcMar>
              <w:top w:w="120" w:type="dxa"/>
              <w:bottom w:w="120" w:type="dxa"/>
              <w:left w:w="160" w:type="dxa"/>
              <w:right w:w="160" w:type="dxa"/>
            </w:tcMar>
          </w:tcPr>
          <w:p>
            <w:r>
              <w:rPr>
                <w:b/>
                <w:sz w:val="19"/>
              </w:rPr>
              <w:t>Alternative Flows</w:t>
            </w:r>
          </w:p>
        </w:tc>
        <w:tc>
          <w:tcPr>
            <w:tcW w:type="dxa" w:w="7344"/>
            <w:tcMar>
              <w:top w:w="120" w:type="dxa"/>
              <w:bottom w:w="120" w:type="dxa"/>
              <w:left w:w="160" w:type="dxa"/>
              <w:right w:w="160" w:type="dxa"/>
            </w:tcMar>
          </w:tcPr>
          <w:p>
            <w:pPr>
              <w:spacing w:after="40" w:line="276" w:lineRule="auto"/>
            </w:pPr>
            <w:r>
              <w:rPr>
                <w:sz w:val="19"/>
              </w:rPr>
              <w:t>Step 3.1_Fast fill from standard high school curriculum template</w:t>
            </w:r>
          </w:p>
          <w:p>
            <w:pPr>
              <w:spacing w:after="40" w:line="276" w:lineRule="auto"/>
            </w:pPr>
            <w:r>
              <w:rPr>
                <w:sz w:val="19"/>
              </w:rPr>
              <w:t>1. User clicks 'Nạp dữ liệu mẫu THPT' (Load Standard Template) button.</w:t>
            </w:r>
          </w:p>
          <w:p>
            <w:pPr>
              <w:spacing w:after="40" w:line="276" w:lineRule="auto"/>
            </w:pPr>
            <w:r>
              <w:rPr>
                <w:sz w:val="19"/>
              </w:rPr>
              <w:t>2. System populates standard MOET 3-year curriculum (25 courses across 6 semesters) with default credits.</w:t>
            </w:r>
          </w:p>
          <w:p>
            <w:pPr>
              <w:spacing w:after="40" w:line="276" w:lineRule="auto"/>
            </w:pPr>
            <w:r>
              <w:rPr>
                <w:sz w:val="19"/>
              </w:rPr>
              <w:t>3. User reviews the pre-filled subject rows and types in or updates semester grades.</w:t>
            </w:r>
          </w:p>
          <w:p>
            <w:pPr>
              <w:spacing w:after="40" w:line="276" w:lineRule="auto"/>
            </w:pPr>
            <w:r>
              <w:rPr>
                <w:sz w:val="19"/>
              </w:rPr>
              <w:t>4. Return to step 5 of normal flow.</w:t>
            </w:r>
          </w:p>
          <w:p>
            <w:pPr>
              <w:spacing w:after="40" w:line="276" w:lineRule="auto"/>
            </w:pPr>
            <w:r>
              <w:rPr>
                <w:sz w:val="19"/>
              </w:rPr>
            </w:r>
          </w:p>
          <w:p>
            <w:pPr>
              <w:spacing w:after="40" w:line="276" w:lineRule="auto"/>
            </w:pPr>
            <w:r>
              <w:rPr>
                <w:sz w:val="19"/>
              </w:rPr>
              <w:t>Step 3.2_University / College degree mode with credits weighting</w:t>
            </w:r>
          </w:p>
          <w:p>
            <w:pPr>
              <w:spacing w:after="40" w:line="276" w:lineRule="auto"/>
            </w:pPr>
            <w:r>
              <w:rPr>
                <w:sz w:val="19"/>
              </w:rPr>
              <w:t>1. User switches education level to 'Đại học (Tín chỉ)'.</w:t>
            </w:r>
          </w:p>
          <w:p>
            <w:pPr>
              <w:spacing w:after="40" w:line="276" w:lineRule="auto"/>
            </w:pPr>
            <w:r>
              <w:rPr>
                <w:sz w:val="19"/>
              </w:rPr>
              <w:t>2. System switches term selectors to flexible semester ordering (Term 1 to 20) and highlights course credits input.</w:t>
            </w:r>
          </w:p>
          <w:p>
            <w:pPr>
              <w:spacing w:after="40" w:line="276" w:lineRule="auto"/>
            </w:pPr>
            <w:r>
              <w:rPr>
                <w:sz w:val="19"/>
              </w:rPr>
              <w:t>3. Weighted GPA is strictly computed based on credit-weighted summation: Sum(GPA4_i * Credits_i) / Sum(Credits_i).</w:t>
            </w:r>
          </w:p>
          <w:p>
            <w:pPr>
              <w:spacing w:after="40" w:line="276" w:lineRule="auto"/>
            </w:pPr>
            <w:r>
              <w:rPr>
                <w:sz w:val="19"/>
              </w:rPr>
              <w:t>4. Return to step 5 of normal flow.</w:t>
            </w:r>
          </w:p>
          <w:p>
            <w:pPr>
              <w:spacing w:after="40" w:line="276" w:lineRule="auto"/>
            </w:pPr>
            <w:r>
              <w:rPr>
                <w:sz w:val="19"/>
              </w:rPr>
            </w:r>
          </w:p>
          <w:p>
            <w:pPr>
              <w:spacing w:after="40" w:line="276" w:lineRule="auto"/>
            </w:pPr>
            <w:r>
              <w:rPr>
                <w:sz w:val="19"/>
              </w:rPr>
              <w:t>Step 11.1_Profiles with fewer than 2 academic terms</w:t>
            </w:r>
          </w:p>
          <w:p>
            <w:pPr>
              <w:spacing w:after="40" w:line="276" w:lineRule="auto"/>
            </w:pPr>
            <w:r>
              <w:rPr>
                <w:sz w:val="19"/>
              </w:rPr>
              <w:t>1. If student enters transcript data for only 1 semester (totalTerms &lt; 2), linear regression cannot determine a trajectory.</w:t>
            </w:r>
          </w:p>
          <w:p>
            <w:pPr>
              <w:spacing w:after="40" w:line="276" w:lineRule="auto"/>
            </w:pPr>
            <w:r>
              <w:rPr>
                <w:sz w:val="19"/>
              </w:rPr>
              <w:t>2. System displays a neutral status badge: 'Chưa đủ dữ liệu xu hướng' (MSG-TREND-NOT-ENOUGH) instead of misclassifying the trend.</w:t>
            </w:r>
          </w:p>
          <w:p>
            <w:pPr>
              <w:spacing w:after="40" w:line="276" w:lineRule="auto"/>
            </w:pPr>
            <w:r>
              <w:rPr>
                <w:sz w:val="19"/>
              </w:rPr>
              <w:t>3. Return to step 12 of normal flow.</w:t>
            </w:r>
          </w:p>
          <w:p>
            <w:pPr>
              <w:spacing w:after="40" w:line="276" w:lineRule="auto"/>
            </w:pPr>
            <w:r>
              <w:rPr>
                <w:sz w:val="19"/>
              </w:rPr>
            </w:r>
          </w:p>
          <w:p>
            <w:pPr>
              <w:spacing w:after="40" w:line="276" w:lineRule="auto"/>
            </w:pPr>
            <w:r>
              <w:rPr>
                <w:sz w:val="19"/>
              </w:rPr>
              <w:t>Step 6.1_System can't perform academic analysis</w:t>
            </w:r>
          </w:p>
          <w:p>
            <w:pPr>
              <w:spacing w:after="40" w:line="276" w:lineRule="auto"/>
            </w:pPr>
            <w:r>
              <w:rPr>
                <w:sz w:val="19"/>
              </w:rPr>
              <w:t>User can't trigger analysis &amp; gets relevant error message in one of below cases:</w:t>
            </w:r>
          </w:p>
          <w:p>
            <w:pPr>
              <w:spacing w:after="40" w:line="276" w:lineRule="auto"/>
            </w:pPr>
            <w:r>
              <w:rPr>
                <w:sz w:val="19"/>
              </w:rPr>
              <w:t>• Subject score field is blank while subject row exists.</w:t>
            </w:r>
          </w:p>
          <w:p>
            <w:pPr>
              <w:spacing w:after="40" w:line="276" w:lineRule="auto"/>
            </w:pPr>
            <w:r>
              <w:rPr>
                <w:sz w:val="19"/>
              </w:rPr>
              <w:t>• Input score is less than 0.00 or greater than 10.00 (MSG-SCORE-ERR-RANGE).</w:t>
            </w:r>
          </w:p>
          <w:p>
            <w:pPr>
              <w:spacing w:after="40" w:line="276" w:lineRule="auto"/>
            </w:pPr>
            <w:r>
              <w:rPr>
                <w:sz w:val="19"/>
              </w:rPr>
              <w:t>• Input score contains non-numeric characters.</w:t>
            </w:r>
          </w:p>
          <w:p>
            <w:pPr>
              <w:spacing w:after="40" w:line="276" w:lineRule="auto"/>
            </w:pPr>
            <w:r>
              <w:rPr>
                <w:sz w:val="19"/>
              </w:rPr>
              <w:t>• Input duplicate subject within the same academic semester (MSG-SCORE-ERR-DUP).</w:t>
            </w:r>
          </w:p>
          <w:p>
            <w:pPr>
              <w:spacing w:after="40" w:line="276" w:lineRule="auto"/>
            </w:pPr>
            <w:r>
              <w:rPr>
                <w:sz w:val="19"/>
              </w:rPr>
              <w:t>• Input semester has 0 course scores.</w:t>
            </w:r>
          </w:p>
          <w:p>
            <w:pPr>
              <w:spacing w:after="40" w:line="276" w:lineRule="auto"/>
            </w:pPr>
            <w:r>
              <w:rPr>
                <w:sz w:val="19"/>
              </w:rPr>
            </w:r>
          </w:p>
          <w:p>
            <w:pPr>
              <w:spacing w:after="40" w:line="276" w:lineRule="auto"/>
            </w:pPr>
            <w:r>
              <w:rPr>
                <w:sz w:val="19"/>
              </w:rPr>
              <w:t>Step 6.2_Decimal score precision handling</w:t>
            </w:r>
          </w:p>
          <w:p>
            <w:pPr>
              <w:spacing w:after="40" w:line="276" w:lineRule="auto"/>
            </w:pPr>
            <w:r>
              <w:rPr>
                <w:sz w:val="19"/>
              </w:rPr>
              <w:t>• System accepts fractional decimal scores (e.g., 8.25, 7.75, 6.85) using step='any' input without native browser validation rejection.</w:t>
            </w:r>
          </w:p>
          <w:p>
            <w:pPr>
              <w:spacing w:after="40" w:line="276" w:lineRule="auto"/>
            </w:pPr>
            <w:r>
              <w:rPr>
                <w:sz w:val="19"/>
              </w:rPr>
            </w:r>
          </w:p>
          <w:p>
            <w:pPr>
              <w:spacing w:after="40" w:line="276" w:lineRule="auto"/>
            </w:pPr>
            <w:r>
              <w:rPr>
                <w:sz w:val="19"/>
              </w:rPr>
              <w:t>Step 6.3_System connection error &amp; failure recovery</w:t>
            </w:r>
          </w:p>
          <w:p>
            <w:pPr>
              <w:spacing w:after="40" w:line="276" w:lineRule="auto"/>
            </w:pPr>
            <w:r>
              <w:rPr>
                <w:sz w:val="19"/>
              </w:rPr>
              <w:t>• If API returns HTTP 500 or network drops while loading, system displays error alert with a 'Thử tải lại dữ liệu' retry button (MSG-NET-RETRY), completely separating error state from empty form.</w:t>
            </w:r>
          </w:p>
          <w:p>
            <w:pPr>
              <w:spacing w:after="40" w:line="276" w:lineRule="auto"/>
            </w:pPr>
            <w:r>
              <w:rPr>
                <w:sz w:val="19"/>
              </w:rPr>
              <w:t>• If API returns HTTP 500 while saving, system retains all entered subject rows and scores in the form so the student does not have to retype.</w:t>
            </w:r>
          </w:p>
        </w:tc>
      </w:tr>
      <w:tr>
        <w:tc>
          <w:tcPr>
            <w:tcW w:type="dxa" w:w="2592"/>
            <w:tcMar>
              <w:top w:w="120" w:type="dxa"/>
              <w:bottom w:w="120" w:type="dxa"/>
              <w:left w:w="160" w:type="dxa"/>
              <w:right w:w="160" w:type="dxa"/>
            </w:tcMar>
          </w:tcPr>
          <w:p>
            <w:r>
              <w:rPr>
                <w:b/>
                <w:sz w:val="19"/>
              </w:rPr>
              <w:t>Postconditions</w:t>
            </w:r>
          </w:p>
        </w:tc>
        <w:tc>
          <w:tcPr>
            <w:tcW w:type="dxa" w:w="7344"/>
            <w:tcMar>
              <w:top w:w="120" w:type="dxa"/>
              <w:bottom w:w="120" w:type="dxa"/>
              <w:left w:w="160" w:type="dxa"/>
              <w:right w:w="160" w:type="dxa"/>
            </w:tcMar>
          </w:tcPr>
          <w:p>
            <w:pPr>
              <w:spacing w:after="40" w:line="276" w:lineRule="auto"/>
            </w:pPr>
            <w:r>
              <w:rPr>
                <w:sz w:val="19"/>
              </w:rPr>
              <w:t>• User saves transcript scores and views academic analysis results successfully.</w:t>
            </w:r>
          </w:p>
          <w:p>
            <w:pPr>
              <w:spacing w:after="40" w:line="276" w:lineRule="auto"/>
            </w:pPr>
            <w:r>
              <w:rPr>
                <w:sz w:val="19"/>
              </w:rPr>
              <w:t>• The system synchronized Unweighted GPA to student_profiles.overall_gpa.</w:t>
            </w:r>
          </w:p>
          <w:p>
            <w:pPr>
              <w:spacing w:after="40" w:line="276" w:lineRule="auto"/>
            </w:pPr>
            <w:r>
              <w:rPr>
                <w:sz w:val="19"/>
              </w:rPr>
              <w:t>• The system tracked academic evaluation into the Activity Log.</w:t>
            </w:r>
          </w:p>
        </w:tc>
      </w:tr>
    </w:tbl>
    <w:p>
      <w:r>
        <w:br w:type="page"/>
      </w:r>
    </w:p>
    <w:p>
      <w:pPr>
        <w:pStyle w:val="Heading3"/>
      </w:pPr>
      <w:r>
        <w:t>1.4.1 Screen: Academic Performance Analysis &amp; GPA Dashboard</w:t>
      </w:r>
    </w:p>
    <w:p>
      <w:r>
        <w:rPr>
          <w:b/>
        </w:rPr>
        <w:t>Content #1: UI layout (Wireframe or Mockup for the screen)</w:t>
        <w:br/>
      </w:r>
      <w:r>
        <w:t>(To be added later)</w:t>
        <w:br/>
        <w:br/>
      </w:r>
      <w:r>
        <w:rPr>
          <w:b/>
        </w:rPr>
        <w:t>Content #2: Screen Description (Mapped to Use Case)</w:t>
        <w:br/>
      </w:r>
      <w:r>
        <w:t>• Mapped Use Case: 1.4 Academic Performance Analysis &amp; GPA Conversion (UC-04)</w:t>
        <w:br/>
      </w:r>
      <w:r>
        <w:t>• This screen allows the Student to:</w:t>
        <w:br/>
      </w:r>
      <w:r>
        <w:t xml:space="preserve">  - Switch Education Level: Toggle between 'THPT (Cấp 3)' and 'Đại học (Tín chỉ)' to adapt input mode to secondary school subjects or university credit weighting.</w:t>
        <w:br/>
      </w:r>
      <w:r>
        <w:t xml:space="preserve">  - Input Transcript Grades: Select academic semesters (Grade 10 Semester 1 through Grade 12 Semester 2 or custom terms 1–20) and record individual subject course grades on the Vietnamese 10.0 scale.</w:t>
        <w:br/>
      </w:r>
      <w:r>
        <w:t xml:space="preserve">  - Autofill Standard Template: Click the 'Nạp dữ liệu mẫu THPT' button to pre-fill standard high school curriculum courses (25 courses) for rapid evaluation and testing.</w:t>
        <w:br/>
      </w:r>
      <w:r>
        <w:t xml:space="preserve">  - Execute GPA Conversion &amp; Analytics: Trigger automated evaluation to convert transcript grades into standardized US WES 4.0 GPA benchmarks.</w:t>
        <w:br/>
      </w:r>
      <w:r>
        <w:t xml:space="preserve">  - View Academic Competitiveness: Review Executive Summary (Unweighted GPA, Weighted GPA up to 4.50, Raw Average 10.0), performance breakdown across subject clusters (STEM, Social Sciences, Languages), and the responsive Term Trend Chart.</w:t>
        <w:br/>
        <w:br/>
      </w:r>
      <w:r>
        <w:rPr>
          <w:b/>
        </w:rPr>
        <w:t>Content #3: Field Description Table</w:t>
        <w:br/>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968"/>
        <w:gridCol w:w="4968"/>
      </w:tblGrid>
      <w:tr>
        <w:tc>
          <w:tcPr>
            <w:tcW w:type="dxa" w:w="3168"/>
            <w:shd w:fill="F2F2F2"/>
            <w:tcMar>
              <w:top w:w="120" w:type="dxa"/>
              <w:bottom w:w="120" w:type="dxa"/>
              <w:left w:w="160" w:type="dxa"/>
              <w:right w:w="160" w:type="dxa"/>
            </w:tcMar>
          </w:tcPr>
          <w:p>
            <w:r>
              <w:rPr>
                <w:b/>
              </w:rPr>
              <w:t>Field Name</w:t>
            </w:r>
          </w:p>
        </w:tc>
        <w:tc>
          <w:tcPr>
            <w:tcW w:type="dxa" w:w="6768"/>
            <w:shd w:fill="F2F2F2"/>
            <w:tcMar>
              <w:top w:w="120" w:type="dxa"/>
              <w:bottom w:w="120" w:type="dxa"/>
              <w:left w:w="160" w:type="dxa"/>
              <w:right w:w="160" w:type="dxa"/>
            </w:tcMar>
          </w:tcPr>
          <w:p>
            <w:r>
              <w:rPr>
                <w:b/>
              </w:rPr>
              <w:t>Description</w:t>
            </w:r>
          </w:p>
        </w:tc>
      </w:tr>
      <w:tr>
        <w:tc>
          <w:tcPr>
            <w:tcW w:type="dxa" w:w="9936"/>
            <w:gridSpan w:val="2"/>
            <w:tcMar>
              <w:top w:w="120" w:type="dxa"/>
              <w:bottom w:w="120" w:type="dxa"/>
              <w:left w:w="160" w:type="dxa"/>
              <w:right w:w="160" w:type="dxa"/>
            </w:tcMar>
            <w:shd w:fill="E8EEF5"/>
          </w:tcPr>
          <w:p>
            <w:r>
              <w:rPr>
                <w:b/>
                <w:sz w:val="19"/>
              </w:rPr>
              <w:t>Group: Education Level &amp; Term Settings - Input controls for academic context</w:t>
            </w:r>
          </w:p>
        </w:tc>
      </w:tr>
      <w:tr>
        <w:tc>
          <w:tcPr>
            <w:tcW w:type="dxa" w:w="3168"/>
            <w:tcMar>
              <w:top w:w="120" w:type="dxa"/>
              <w:bottom w:w="120" w:type="dxa"/>
              <w:left w:w="160" w:type="dxa"/>
              <w:right w:w="160" w:type="dxa"/>
            </w:tcMar>
          </w:tcPr>
          <w:p>
            <w:r>
              <w:rPr>
                <w:b/>
                <w:sz w:val="19"/>
              </w:rPr>
              <w:t>EducationLevelSwitcher</w:t>
            </w:r>
          </w:p>
        </w:tc>
        <w:tc>
          <w:tcPr>
            <w:tcW w:type="dxa" w:w="6768"/>
            <w:tcMar>
              <w:top w:w="120" w:type="dxa"/>
              <w:bottom w:w="120" w:type="dxa"/>
              <w:left w:w="160" w:type="dxa"/>
              <w:right w:w="160" w:type="dxa"/>
            </w:tcMar>
          </w:tcPr>
          <w:p>
            <w:pPr>
              <w:spacing w:after="40" w:line="276" w:lineRule="auto"/>
            </w:pPr>
            <w:r>
              <w:rPr>
                <w:sz w:val="19"/>
              </w:rPr>
              <w:t>• Component: Segmented Control / Radio switch.</w:t>
            </w:r>
          </w:p>
          <w:p>
            <w:pPr>
              <w:spacing w:after="40" w:line="276" w:lineRule="auto"/>
            </w:pPr>
            <w:r>
              <w:rPr>
                <w:sz w:val="19"/>
              </w:rPr>
              <w:t>• Domain values: THPT (Cấp 3), Đại học (Tín chỉ).</w:t>
            </w:r>
          </w:p>
          <w:p>
            <w:pPr>
              <w:spacing w:after="40" w:line="276" w:lineRule="auto"/>
            </w:pPr>
            <w:r>
              <w:rPr>
                <w:sz w:val="19"/>
              </w:rPr>
              <w:t>• Initial value: THPT (Cấp 3).</w:t>
            </w:r>
          </w:p>
          <w:p>
            <w:pPr>
              <w:spacing w:after="40" w:line="276" w:lineRule="auto"/>
            </w:pPr>
            <w:r>
              <w:rPr>
                <w:sz w:val="19"/>
              </w:rPr>
              <w:t>• Requirement: Required. Adapts UI between 3-year high school curriculum and university credit-weighted courses.</w:t>
            </w:r>
          </w:p>
        </w:tc>
      </w:tr>
      <w:tr>
        <w:tc>
          <w:tcPr>
            <w:tcW w:type="dxa" w:w="3168"/>
            <w:tcMar>
              <w:top w:w="120" w:type="dxa"/>
              <w:bottom w:w="120" w:type="dxa"/>
              <w:left w:w="160" w:type="dxa"/>
              <w:right w:w="160" w:type="dxa"/>
            </w:tcMar>
          </w:tcPr>
          <w:p>
            <w:r>
              <w:rPr>
                <w:b/>
                <w:sz w:val="19"/>
              </w:rPr>
              <w:t>SemesterSelect</w:t>
            </w:r>
          </w:p>
        </w:tc>
        <w:tc>
          <w:tcPr>
            <w:tcW w:type="dxa" w:w="6768"/>
            <w:tcMar>
              <w:top w:w="120" w:type="dxa"/>
              <w:bottom w:w="120" w:type="dxa"/>
              <w:left w:w="160" w:type="dxa"/>
              <w:right w:w="160" w:type="dxa"/>
            </w:tcMar>
          </w:tcPr>
          <w:p>
            <w:pPr>
              <w:spacing w:after="40" w:line="276" w:lineRule="auto"/>
            </w:pPr>
            <w:r>
              <w:rPr>
                <w:sz w:val="19"/>
              </w:rPr>
              <w:t>• Data type: Dropdown selector.</w:t>
            </w:r>
          </w:p>
          <w:p>
            <w:pPr>
              <w:spacing w:after="40" w:line="276" w:lineRule="auto"/>
            </w:pPr>
            <w:r>
              <w:rPr>
                <w:sz w:val="19"/>
              </w:rPr>
              <w:t>• Domain values: Standard 6 semesters (Lớp 10 HK1 to Lớp 12 HK2) or custom term sequence (Kỳ 1 to Kỳ 20).</w:t>
            </w:r>
          </w:p>
          <w:p>
            <w:pPr>
              <w:spacing w:after="40" w:line="276" w:lineRule="auto"/>
            </w:pPr>
            <w:r>
              <w:rPr>
                <w:sz w:val="19"/>
              </w:rPr>
              <w:t>• Initial value: Lớp 10 HK1.</w:t>
            </w:r>
          </w:p>
          <w:p>
            <w:pPr>
              <w:spacing w:after="40" w:line="276" w:lineRule="auto"/>
            </w:pPr>
            <w:r>
              <w:rPr>
                <w:sz w:val="19"/>
              </w:rPr>
              <w:t>• Requirement: Required. Determines chronological term sequence (term_order 1 to 20).</w:t>
            </w:r>
          </w:p>
        </w:tc>
      </w:tr>
      <w:tr>
        <w:tc>
          <w:tcPr>
            <w:tcW w:type="dxa" w:w="3168"/>
            <w:tcMar>
              <w:top w:w="120" w:type="dxa"/>
              <w:bottom w:w="120" w:type="dxa"/>
              <w:left w:w="160" w:type="dxa"/>
              <w:right w:w="160" w:type="dxa"/>
            </w:tcMar>
          </w:tcPr>
          <w:p>
            <w:r>
              <w:rPr>
                <w:b/>
                <w:sz w:val="19"/>
              </w:rPr>
              <w:t>IsCustomTermToggle</w:t>
            </w:r>
          </w:p>
        </w:tc>
        <w:tc>
          <w:tcPr>
            <w:tcW w:type="dxa" w:w="6768"/>
            <w:tcMar>
              <w:top w:w="120" w:type="dxa"/>
              <w:bottom w:w="120" w:type="dxa"/>
              <w:left w:w="160" w:type="dxa"/>
              <w:right w:w="160" w:type="dxa"/>
            </w:tcMar>
          </w:tcPr>
          <w:p>
            <w:pPr>
              <w:spacing w:after="40" w:line="276" w:lineRule="auto"/>
            </w:pPr>
            <w:r>
              <w:rPr>
                <w:sz w:val="19"/>
              </w:rPr>
              <w:t>• Data type: Boolean checkbox.</w:t>
            </w:r>
          </w:p>
          <w:p>
            <w:pPr>
              <w:spacing w:after="40" w:line="276" w:lineRule="auto"/>
            </w:pPr>
            <w:r>
              <w:rPr>
                <w:sz w:val="19"/>
              </w:rPr>
              <w:t>• Initial value: false.</w:t>
            </w:r>
          </w:p>
          <w:p>
            <w:pPr>
              <w:spacing w:after="40" w:line="276" w:lineRule="auto"/>
            </w:pPr>
            <w:r>
              <w:rPr>
                <w:sz w:val="19"/>
              </w:rPr>
              <w:t>• Requirement: Optional. Enables custom semester name and order for non-standard academic calendars.</w:t>
            </w:r>
          </w:p>
        </w:tc>
      </w:tr>
      <w:tr>
        <w:tc>
          <w:tcPr>
            <w:tcW w:type="dxa" w:w="9936"/>
            <w:gridSpan w:val="2"/>
            <w:tcMar>
              <w:top w:w="120" w:type="dxa"/>
              <w:bottom w:w="120" w:type="dxa"/>
              <w:left w:w="160" w:type="dxa"/>
              <w:right w:w="160" w:type="dxa"/>
            </w:tcMar>
            <w:shd w:fill="E8EEF5"/>
          </w:tcPr>
          <w:p>
            <w:r>
              <w:rPr>
                <w:b/>
                <w:sz w:val="19"/>
              </w:rPr>
              <w:t>Group: Transcript Grade Entry - Input components for course records and scores</w:t>
            </w:r>
          </w:p>
        </w:tc>
      </w:tr>
      <w:tr>
        <w:tc>
          <w:tcPr>
            <w:tcW w:type="dxa" w:w="3168"/>
            <w:tcMar>
              <w:top w:w="120" w:type="dxa"/>
              <w:bottom w:w="120" w:type="dxa"/>
              <w:left w:w="160" w:type="dxa"/>
              <w:right w:w="160" w:type="dxa"/>
            </w:tcMar>
          </w:tcPr>
          <w:p>
            <w:r>
              <w:rPr>
                <w:b/>
                <w:sz w:val="19"/>
              </w:rPr>
              <w:t>SubjectName</w:t>
            </w:r>
          </w:p>
        </w:tc>
        <w:tc>
          <w:tcPr>
            <w:tcW w:type="dxa" w:w="6768"/>
            <w:tcMar>
              <w:top w:w="120" w:type="dxa"/>
              <w:bottom w:w="120" w:type="dxa"/>
              <w:left w:w="160" w:type="dxa"/>
              <w:right w:w="160" w:type="dxa"/>
            </w:tcMar>
          </w:tcPr>
          <w:p>
            <w:pPr>
              <w:spacing w:after="40" w:line="276" w:lineRule="auto"/>
            </w:pPr>
            <w:r>
              <w:rPr>
                <w:sz w:val="19"/>
              </w:rPr>
              <w:t>• Data type: Text string with autocomplete suggestions.</w:t>
            </w:r>
          </w:p>
          <w:p>
            <w:pPr>
              <w:spacing w:after="40" w:line="276" w:lineRule="auto"/>
            </w:pPr>
            <w:r>
              <w:rPr>
                <w:sz w:val="19"/>
              </w:rPr>
              <w:t>• Length: 1 – 100 characters.</w:t>
            </w:r>
          </w:p>
          <w:p>
            <w:pPr>
              <w:spacing w:after="40" w:line="276" w:lineRule="auto"/>
            </w:pPr>
            <w:r>
              <w:rPr>
                <w:sz w:val="19"/>
              </w:rPr>
              <w:t>• Requirement: Required. Subject course title (e.g., Toán, Vật lý, Hóa học, Sinh học, Ngữ văn, Lịch sử, Địa lý, Tiếng Anh).</w:t>
            </w:r>
          </w:p>
        </w:tc>
      </w:tr>
      <w:tr>
        <w:tc>
          <w:tcPr>
            <w:tcW w:type="dxa" w:w="3168"/>
            <w:tcMar>
              <w:top w:w="120" w:type="dxa"/>
              <w:bottom w:w="120" w:type="dxa"/>
              <w:left w:w="160" w:type="dxa"/>
              <w:right w:w="160" w:type="dxa"/>
            </w:tcMar>
          </w:tcPr>
          <w:p>
            <w:r>
              <w:rPr>
                <w:b/>
                <w:sz w:val="19"/>
              </w:rPr>
              <w:t>Score10</w:t>
            </w:r>
          </w:p>
        </w:tc>
        <w:tc>
          <w:tcPr>
            <w:tcW w:type="dxa" w:w="6768"/>
            <w:tcMar>
              <w:top w:w="120" w:type="dxa"/>
              <w:bottom w:w="120" w:type="dxa"/>
              <w:left w:w="160" w:type="dxa"/>
              <w:right w:w="160" w:type="dxa"/>
            </w:tcMar>
          </w:tcPr>
          <w:p>
            <w:pPr>
              <w:spacing w:after="40" w:line="276" w:lineRule="auto"/>
            </w:pPr>
            <w:r>
              <w:rPr>
                <w:sz w:val="19"/>
              </w:rPr>
              <w:t>• Data type: Decimal number with up to 2 decimal places.</w:t>
            </w:r>
          </w:p>
          <w:p>
            <w:pPr>
              <w:spacing w:after="40" w:line="276" w:lineRule="auto"/>
            </w:pPr>
            <w:r>
              <w:rPr>
                <w:sz w:val="19"/>
              </w:rPr>
              <w:t>• Range / Min-Max: Min: 0.00, Max: 10.00.</w:t>
            </w:r>
          </w:p>
          <w:p>
            <w:pPr>
              <w:spacing w:after="40" w:line="276" w:lineRule="auto"/>
            </w:pPr>
            <w:r>
              <w:rPr>
                <w:sz w:val="19"/>
              </w:rPr>
              <w:t>• Input step: step="any" (fully accepts fractional decimal scores such as 8.25 or 7.75 without native browser step mismatch errors).</w:t>
            </w:r>
          </w:p>
          <w:p>
            <w:pPr>
              <w:spacing w:after="40" w:line="276" w:lineRule="auto"/>
            </w:pPr>
            <w:r>
              <w:rPr>
                <w:sz w:val="19"/>
              </w:rPr>
              <w:t>• Requirement: Required (GBR-ACAD-01). Raw subject course grade on Vietnamese 10.0 scale.</w:t>
            </w:r>
          </w:p>
        </w:tc>
      </w:tr>
      <w:tr>
        <w:tc>
          <w:tcPr>
            <w:tcW w:type="dxa" w:w="3168"/>
            <w:tcMar>
              <w:top w:w="120" w:type="dxa"/>
              <w:bottom w:w="120" w:type="dxa"/>
              <w:left w:w="160" w:type="dxa"/>
              <w:right w:w="160" w:type="dxa"/>
            </w:tcMar>
          </w:tcPr>
          <w:p>
            <w:r>
              <w:rPr>
                <w:b/>
                <w:sz w:val="19"/>
              </w:rPr>
              <w:t>CreditsWeight</w:t>
            </w:r>
          </w:p>
        </w:tc>
        <w:tc>
          <w:tcPr>
            <w:tcW w:type="dxa" w:w="6768"/>
            <w:tcMar>
              <w:top w:w="120" w:type="dxa"/>
              <w:bottom w:w="120" w:type="dxa"/>
              <w:left w:w="160" w:type="dxa"/>
              <w:right w:w="160" w:type="dxa"/>
            </w:tcMar>
          </w:tcPr>
          <w:p>
            <w:pPr>
              <w:spacing w:after="40" w:line="276" w:lineRule="auto"/>
            </w:pPr>
            <w:r>
              <w:rPr>
                <w:sz w:val="19"/>
              </w:rPr>
              <w:t>• Data type: Positive decimal number.</w:t>
            </w:r>
          </w:p>
          <w:p>
            <w:pPr>
              <w:spacing w:after="40" w:line="276" w:lineRule="auto"/>
            </w:pPr>
            <w:r>
              <w:rPr>
                <w:sz w:val="19"/>
              </w:rPr>
              <w:t>• Range: [0.5, 10.0].</w:t>
            </w:r>
          </w:p>
          <w:p>
            <w:pPr>
              <w:spacing w:after="40" w:line="276" w:lineRule="auto"/>
            </w:pPr>
            <w:r>
              <w:rPr>
                <w:sz w:val="19"/>
              </w:rPr>
              <w:t>• Initial / Default value: 1.0 (Standard THPT course weight) or actual university course credits.</w:t>
            </w:r>
          </w:p>
          <w:p>
            <w:pPr>
              <w:spacing w:after="40" w:line="276" w:lineRule="auto"/>
            </w:pPr>
            <w:r>
              <w:rPr>
                <w:sz w:val="19"/>
              </w:rPr>
              <w:t>• Requirement: Optional. Course credit multiplier used in Weighted GPA calculation.</w:t>
            </w:r>
          </w:p>
        </w:tc>
      </w:tr>
      <w:tr>
        <w:tc>
          <w:tcPr>
            <w:tcW w:type="dxa" w:w="3168"/>
            <w:tcMar>
              <w:top w:w="120" w:type="dxa"/>
              <w:bottom w:w="120" w:type="dxa"/>
              <w:left w:w="160" w:type="dxa"/>
              <w:right w:w="160" w:type="dxa"/>
            </w:tcMar>
          </w:tcPr>
          <w:p>
            <w:r>
              <w:rPr>
                <w:b/>
                <w:sz w:val="19"/>
              </w:rPr>
              <w:t>BtnAddSubject</w:t>
            </w:r>
          </w:p>
        </w:tc>
        <w:tc>
          <w:tcPr>
            <w:tcW w:type="dxa" w:w="6768"/>
            <w:tcMar>
              <w:top w:w="120" w:type="dxa"/>
              <w:bottom w:w="120" w:type="dxa"/>
              <w:left w:w="160" w:type="dxa"/>
              <w:right w:w="160" w:type="dxa"/>
            </w:tcMar>
          </w:tcPr>
          <w:p>
            <w:pPr>
              <w:spacing w:after="40" w:line="276" w:lineRule="auto"/>
            </w:pPr>
            <w:r>
              <w:rPr>
                <w:sz w:val="19"/>
              </w:rPr>
              <w:t>• Component: Action button.</w:t>
            </w:r>
          </w:p>
          <w:p>
            <w:pPr>
              <w:spacing w:after="40" w:line="276" w:lineRule="auto"/>
            </w:pPr>
            <w:r>
              <w:rPr>
                <w:sz w:val="19"/>
              </w:rPr>
              <w:t>• Behavior: Validates score boundaries and appends course record into active semester transcript table. Retains form input upon server error.</w:t>
            </w:r>
          </w:p>
        </w:tc>
      </w:tr>
      <w:tr>
        <w:tc>
          <w:tcPr>
            <w:tcW w:type="dxa" w:w="3168"/>
            <w:tcMar>
              <w:top w:w="120" w:type="dxa"/>
              <w:bottom w:w="120" w:type="dxa"/>
              <w:left w:w="160" w:type="dxa"/>
              <w:right w:w="160" w:type="dxa"/>
            </w:tcMar>
          </w:tcPr>
          <w:p>
            <w:r>
              <w:rPr>
                <w:b/>
                <w:sz w:val="19"/>
              </w:rPr>
              <w:t>BtnLoadTemplate</w:t>
            </w:r>
          </w:p>
        </w:tc>
        <w:tc>
          <w:tcPr>
            <w:tcW w:type="dxa" w:w="6768"/>
            <w:tcMar>
              <w:top w:w="120" w:type="dxa"/>
              <w:bottom w:w="120" w:type="dxa"/>
              <w:left w:w="160" w:type="dxa"/>
              <w:right w:w="160" w:type="dxa"/>
            </w:tcMar>
          </w:tcPr>
          <w:p>
            <w:pPr>
              <w:spacing w:after="40" w:line="276" w:lineRule="auto"/>
            </w:pPr>
            <w:r>
              <w:rPr>
                <w:sz w:val="19"/>
              </w:rPr>
              <w:t>• Component: Helper button.</w:t>
            </w:r>
          </w:p>
          <w:p>
            <w:pPr>
              <w:spacing w:after="40" w:line="276" w:lineRule="auto"/>
            </w:pPr>
            <w:r>
              <w:rPr>
                <w:sz w:val="19"/>
              </w:rPr>
              <w:t>• Behavior: Auto-populates standard 3-year high school curriculum (25 courses across 6 terms) for rapid testing.</w:t>
            </w:r>
          </w:p>
        </w:tc>
      </w:tr>
      <w:tr>
        <w:tc>
          <w:tcPr>
            <w:tcW w:type="dxa" w:w="3168"/>
            <w:tcMar>
              <w:top w:w="120" w:type="dxa"/>
              <w:bottom w:w="120" w:type="dxa"/>
              <w:left w:w="160" w:type="dxa"/>
              <w:right w:w="160" w:type="dxa"/>
            </w:tcMar>
          </w:tcPr>
          <w:p>
            <w:r>
              <w:rPr>
                <w:b/>
                <w:sz w:val="19"/>
              </w:rPr>
              <w:t>BtnAnalyze</w:t>
            </w:r>
          </w:p>
        </w:tc>
        <w:tc>
          <w:tcPr>
            <w:tcW w:type="dxa" w:w="6768"/>
            <w:tcMar>
              <w:top w:w="120" w:type="dxa"/>
              <w:bottom w:w="120" w:type="dxa"/>
              <w:left w:w="160" w:type="dxa"/>
              <w:right w:w="160" w:type="dxa"/>
            </w:tcMar>
          </w:tcPr>
          <w:p>
            <w:pPr>
              <w:spacing w:after="40" w:line="276" w:lineRule="auto"/>
            </w:pPr>
            <w:r>
              <w:rPr>
                <w:sz w:val="19"/>
              </w:rPr>
              <w:t>• Component: Primary Action button.</w:t>
            </w:r>
          </w:p>
          <w:p>
            <w:pPr>
              <w:spacing w:after="40" w:line="276" w:lineRule="auto"/>
            </w:pPr>
            <w:r>
              <w:rPr>
                <w:sz w:val="19"/>
              </w:rPr>
              <w:t>• Behavior: Dispatches request to POST /api/v1/profile/academic/analyze to execute WES 4.0 conversion, subject grouping, and trajectory classification.</w:t>
            </w:r>
          </w:p>
        </w:tc>
      </w:tr>
      <w:tr>
        <w:tc>
          <w:tcPr>
            <w:tcW w:type="dxa" w:w="9936"/>
            <w:gridSpan w:val="2"/>
            <w:tcMar>
              <w:top w:w="120" w:type="dxa"/>
              <w:bottom w:w="120" w:type="dxa"/>
              <w:left w:w="160" w:type="dxa"/>
              <w:right w:w="160" w:type="dxa"/>
            </w:tcMar>
            <w:shd w:fill="E8EEF5"/>
          </w:tcPr>
          <w:p>
            <w:r>
              <w:rPr>
                <w:b/>
                <w:sz w:val="19"/>
              </w:rPr>
              <w:t>Group: Executive Summary &amp; Academic Metrics - Calculated indicators and visualization components</w:t>
            </w:r>
          </w:p>
        </w:tc>
      </w:tr>
      <w:tr>
        <w:tc>
          <w:tcPr>
            <w:tcW w:type="dxa" w:w="3168"/>
            <w:tcMar>
              <w:top w:w="120" w:type="dxa"/>
              <w:bottom w:w="120" w:type="dxa"/>
              <w:left w:w="160" w:type="dxa"/>
              <w:right w:w="160" w:type="dxa"/>
            </w:tcMar>
          </w:tcPr>
          <w:p>
            <w:r>
              <w:rPr>
                <w:b/>
                <w:sz w:val="19"/>
              </w:rPr>
              <w:t>UnweightedGpa</w:t>
            </w:r>
          </w:p>
        </w:tc>
        <w:tc>
          <w:tcPr>
            <w:tcW w:type="dxa" w:w="6768"/>
            <w:tcMar>
              <w:top w:w="120" w:type="dxa"/>
              <w:bottom w:w="120" w:type="dxa"/>
              <w:left w:w="160" w:type="dxa"/>
              <w:right w:w="160" w:type="dxa"/>
            </w:tcMar>
          </w:tcPr>
          <w:p>
            <w:pPr>
              <w:spacing w:after="40" w:line="276" w:lineRule="auto"/>
            </w:pPr>
            <w:r>
              <w:rPr>
                <w:sz w:val="19"/>
              </w:rPr>
              <w:t>• Component: Read-only numeric display.</w:t>
            </w:r>
          </w:p>
          <w:p>
            <w:pPr>
              <w:spacing w:after="40" w:line="276" w:lineRule="auto"/>
            </w:pPr>
            <w:r>
              <w:rPr>
                <w:sz w:val="19"/>
              </w:rPr>
              <w:t>• Format: Standard US 4.0 scale formatted to 2 decimal places (e.g., 3.65 / 4.0).</w:t>
            </w:r>
          </w:p>
          <w:p>
            <w:pPr>
              <w:spacing w:after="40" w:line="276" w:lineRule="auto"/>
            </w:pPr>
            <w:r>
              <w:rPr>
                <w:sz w:val="19"/>
              </w:rPr>
              <w:t>• Calculation: Simple arithmetic mean across all graded subjects converted to WES 4.0 scale.</w:t>
            </w:r>
          </w:p>
        </w:tc>
      </w:tr>
      <w:tr>
        <w:tc>
          <w:tcPr>
            <w:tcW w:type="dxa" w:w="3168"/>
            <w:tcMar>
              <w:top w:w="120" w:type="dxa"/>
              <w:bottom w:w="120" w:type="dxa"/>
              <w:left w:w="160" w:type="dxa"/>
              <w:right w:w="160" w:type="dxa"/>
            </w:tcMar>
          </w:tcPr>
          <w:p>
            <w:r>
              <w:rPr>
                <w:b/>
                <w:sz w:val="19"/>
              </w:rPr>
              <w:t>WeightedGpa</w:t>
            </w:r>
          </w:p>
        </w:tc>
        <w:tc>
          <w:tcPr>
            <w:tcW w:type="dxa" w:w="6768"/>
            <w:tcMar>
              <w:top w:w="120" w:type="dxa"/>
              <w:bottom w:w="120" w:type="dxa"/>
              <w:left w:w="160" w:type="dxa"/>
              <w:right w:w="160" w:type="dxa"/>
            </w:tcMar>
          </w:tcPr>
          <w:p>
            <w:pPr>
              <w:spacing w:after="40" w:line="276" w:lineRule="auto"/>
            </w:pPr>
            <w:r>
              <w:rPr>
                <w:sz w:val="19"/>
              </w:rPr>
              <w:t>• Component: Read-only numeric display.</w:t>
            </w:r>
          </w:p>
          <w:p>
            <w:pPr>
              <w:spacing w:after="40" w:line="276" w:lineRule="auto"/>
            </w:pPr>
            <w:r>
              <w:rPr>
                <w:sz w:val="19"/>
              </w:rPr>
              <w:t>• Format: Unbounded upper score display up to 4.50 (e.g., 4.15 kèm ghi chú 'Tín chỉ / môn nâng cao', không gò bó mẫu số / 4.0).</w:t>
            </w:r>
          </w:p>
          <w:p>
            <w:pPr>
              <w:spacing w:after="40" w:line="276" w:lineRule="auto"/>
            </w:pPr>
            <w:r>
              <w:rPr>
                <w:sz w:val="19"/>
              </w:rPr>
              <w:t>• Calculation: Credit-weighted mean incorporating advanced/honors course bonus points (+0.5).</w:t>
            </w:r>
          </w:p>
        </w:tc>
      </w:tr>
      <w:tr>
        <w:tc>
          <w:tcPr>
            <w:tcW w:type="dxa" w:w="3168"/>
            <w:tcMar>
              <w:top w:w="120" w:type="dxa"/>
              <w:bottom w:w="120" w:type="dxa"/>
              <w:left w:w="160" w:type="dxa"/>
              <w:right w:w="160" w:type="dxa"/>
            </w:tcMar>
          </w:tcPr>
          <w:p>
            <w:r>
              <w:rPr>
                <w:b/>
                <w:sz w:val="19"/>
              </w:rPr>
              <w:t>VietnameseGpa</w:t>
            </w:r>
          </w:p>
        </w:tc>
        <w:tc>
          <w:tcPr>
            <w:tcW w:type="dxa" w:w="6768"/>
            <w:tcMar>
              <w:top w:w="120" w:type="dxa"/>
              <w:bottom w:w="120" w:type="dxa"/>
              <w:left w:w="160" w:type="dxa"/>
              <w:right w:w="160" w:type="dxa"/>
            </w:tcMar>
          </w:tcPr>
          <w:p>
            <w:pPr>
              <w:spacing w:after="40" w:line="276" w:lineRule="auto"/>
            </w:pPr>
            <w:r>
              <w:rPr>
                <w:sz w:val="19"/>
              </w:rPr>
              <w:t>• Component: Read-only numeric display.</w:t>
            </w:r>
          </w:p>
          <w:p>
            <w:pPr>
              <w:spacing w:after="40" w:line="276" w:lineRule="auto"/>
            </w:pPr>
            <w:r>
              <w:rPr>
                <w:sz w:val="19"/>
              </w:rPr>
              <w:t>• Format: Vietnamese 10.0 scale (e.g., 8.82 / 10.0).</w:t>
            </w:r>
          </w:p>
          <w:p>
            <w:pPr>
              <w:spacing w:after="40" w:line="276" w:lineRule="auto"/>
            </w:pPr>
            <w:r>
              <w:rPr>
                <w:sz w:val="19"/>
              </w:rPr>
              <w:t>• Calculation: Cumulative grade point average across all submitted semesters.</w:t>
            </w:r>
          </w:p>
        </w:tc>
      </w:tr>
      <w:tr>
        <w:tc>
          <w:tcPr>
            <w:tcW w:type="dxa" w:w="3168"/>
            <w:tcMar>
              <w:top w:w="120" w:type="dxa"/>
              <w:bottom w:w="120" w:type="dxa"/>
              <w:left w:w="160" w:type="dxa"/>
              <w:right w:w="160" w:type="dxa"/>
            </w:tcMar>
          </w:tcPr>
          <w:p>
            <w:r>
              <w:rPr>
                <w:b/>
                <w:sz w:val="19"/>
              </w:rPr>
              <w:t>TrendBadge</w:t>
            </w:r>
          </w:p>
        </w:tc>
        <w:tc>
          <w:tcPr>
            <w:tcW w:type="dxa" w:w="6768"/>
            <w:tcMar>
              <w:top w:w="120" w:type="dxa"/>
              <w:bottom w:w="120" w:type="dxa"/>
              <w:left w:w="160" w:type="dxa"/>
              <w:right w:w="160" w:type="dxa"/>
            </w:tcMar>
          </w:tcPr>
          <w:p>
            <w:pPr>
              <w:spacing w:after="40" w:line="276" w:lineRule="auto"/>
            </w:pPr>
            <w:r>
              <w:rPr>
                <w:sz w:val="19"/>
              </w:rPr>
              <w:t>• Component: Visual status badge.</w:t>
            </w:r>
          </w:p>
          <w:p>
            <w:pPr>
              <w:spacing w:after="40" w:line="276" w:lineRule="auto"/>
            </w:pPr>
            <w:r>
              <w:rPr>
                <w:sz w:val="19"/>
              </w:rPr>
              <w:t>• Domain values / Display:</w:t>
            </w:r>
          </w:p>
          <w:p>
            <w:pPr>
              <w:spacing w:after="40" w:line="276" w:lineRule="auto"/>
            </w:pPr>
            <w:r>
              <w:rPr>
                <w:sz w:val="19"/>
              </w:rPr>
              <w:t xml:space="preserve">  - Đà tăng trưởng (Growth Mindset) (Green badge, slope &gt;= +0.05)</w:t>
            </w:r>
          </w:p>
          <w:p>
            <w:pPr>
              <w:spacing w:after="40" w:line="276" w:lineRule="auto"/>
            </w:pPr>
            <w:r>
              <w:rPr>
                <w:sz w:val="19"/>
              </w:rPr>
              <w:t xml:space="preserve">  - Phong độ ổn định (Blue badge, -0.05 &lt; slope &lt; +0.05)</w:t>
            </w:r>
          </w:p>
          <w:p>
            <w:pPr>
              <w:spacing w:after="40" w:line="276" w:lineRule="auto"/>
            </w:pPr>
            <w:r>
              <w:rPr>
                <w:sz w:val="19"/>
              </w:rPr>
              <w:t xml:space="preserve">  - Đang có sự giảm sút (Amber badge, slope &lt;= -0.05)</w:t>
            </w:r>
          </w:p>
          <w:p>
            <w:pPr>
              <w:spacing w:after="40" w:line="276" w:lineRule="auto"/>
            </w:pPr>
            <w:r>
              <w:rPr>
                <w:sz w:val="19"/>
              </w:rPr>
              <w:t xml:space="preserve">  - Chưa đủ dữ liệu xu hướng (Neutral slate badge, displayed when recorded terms &lt; 2).</w:t>
            </w:r>
          </w:p>
          <w:p>
            <w:pPr>
              <w:spacing w:after="40" w:line="276" w:lineRule="auto"/>
            </w:pPr>
            <w:r>
              <w:rPr>
                <w:sz w:val="19"/>
              </w:rPr>
              <w:t>• Behavior: Evaluates academic growth trajectory based on linear regression slope across recorded terms (GBR-ACAD-04).</w:t>
            </w:r>
          </w:p>
        </w:tc>
      </w:tr>
      <w:tr>
        <w:tc>
          <w:tcPr>
            <w:tcW w:type="dxa" w:w="3168"/>
            <w:tcMar>
              <w:top w:w="120" w:type="dxa"/>
              <w:bottom w:w="120" w:type="dxa"/>
              <w:left w:w="160" w:type="dxa"/>
              <w:right w:w="160" w:type="dxa"/>
            </w:tcMar>
          </w:tcPr>
          <w:p>
            <w:r>
              <w:rPr>
                <w:b/>
                <w:sz w:val="19"/>
              </w:rPr>
              <w:t>SubjectGroupBars</w:t>
            </w:r>
          </w:p>
        </w:tc>
        <w:tc>
          <w:tcPr>
            <w:tcW w:type="dxa" w:w="6768"/>
            <w:tcMar>
              <w:top w:w="120" w:type="dxa"/>
              <w:bottom w:w="120" w:type="dxa"/>
              <w:left w:w="160" w:type="dxa"/>
              <w:right w:w="160" w:type="dxa"/>
            </w:tcMar>
          </w:tcPr>
          <w:p>
            <w:pPr>
              <w:spacing w:after="40" w:line="276" w:lineRule="auto"/>
            </w:pPr>
            <w:r>
              <w:rPr>
                <w:sz w:val="19"/>
              </w:rPr>
              <w:t>• Component: Graphical progress bar breakdown.</w:t>
            </w:r>
          </w:p>
          <w:p>
            <w:pPr>
              <w:spacing w:after="40" w:line="276" w:lineRule="auto"/>
            </w:pPr>
            <w:r>
              <w:rPr>
                <w:sz w:val="19"/>
              </w:rPr>
              <w:t>• Metrics displayed: Average 10.0 score, converted 4.0 GPA, subject count, and distinct course tags across three academic clusters: STEM, Languages, and Social Sciences.</w:t>
            </w:r>
          </w:p>
        </w:tc>
      </w:tr>
      <w:tr>
        <w:tc>
          <w:tcPr>
            <w:tcW w:type="dxa" w:w="3168"/>
            <w:tcMar>
              <w:top w:w="120" w:type="dxa"/>
              <w:bottom w:w="120" w:type="dxa"/>
              <w:left w:w="160" w:type="dxa"/>
              <w:right w:w="160" w:type="dxa"/>
            </w:tcMar>
          </w:tcPr>
          <w:p>
            <w:r>
              <w:rPr>
                <w:b/>
                <w:sz w:val="19"/>
              </w:rPr>
              <w:t>TermTrendChart</w:t>
            </w:r>
          </w:p>
        </w:tc>
        <w:tc>
          <w:tcPr>
            <w:tcW w:type="dxa" w:w="6768"/>
            <w:tcMar>
              <w:top w:w="120" w:type="dxa"/>
              <w:bottom w:w="120" w:type="dxa"/>
              <w:left w:w="160" w:type="dxa"/>
              <w:right w:w="160" w:type="dxa"/>
            </w:tcMar>
          </w:tcPr>
          <w:p>
            <w:pPr>
              <w:spacing w:after="40" w:line="276" w:lineRule="auto"/>
            </w:pPr>
            <w:r>
              <w:rPr>
                <w:sz w:val="19"/>
              </w:rPr>
              <w:t>• Component: Bar chart visualization.</w:t>
            </w:r>
          </w:p>
          <w:p>
            <w:pPr>
              <w:spacing w:after="40" w:line="276" w:lineRule="auto"/>
            </w:pPr>
            <w:r>
              <w:rPr>
                <w:sz w:val="19"/>
              </w:rPr>
              <w:t>• Behavior: Renders semester-by-semester average GPA progression. Features internal horizontal scroll (min-w-[280px]) preventing mobile viewport overflow (375px/768px), 2-line semester labels preventing truncation, and true baseline rendering (0 GPA renders at 0% baseline with legible text).</w:t>
            </w:r>
          </w:p>
        </w:tc>
      </w:tr>
      <w:tr>
        <w:tc>
          <w:tcPr>
            <w:tcW w:type="dxa" w:w="3168"/>
            <w:tcMar>
              <w:top w:w="120" w:type="dxa"/>
              <w:bottom w:w="120" w:type="dxa"/>
              <w:left w:w="160" w:type="dxa"/>
              <w:right w:w="160" w:type="dxa"/>
            </w:tcMar>
          </w:tcPr>
          <w:p>
            <w:r>
              <w:rPr>
                <w:b/>
                <w:sz w:val="19"/>
              </w:rPr>
              <w:t>WESDisclaimer</w:t>
            </w:r>
          </w:p>
        </w:tc>
        <w:tc>
          <w:tcPr>
            <w:tcW w:type="dxa" w:w="6768"/>
            <w:tcMar>
              <w:top w:w="120" w:type="dxa"/>
              <w:bottom w:w="120" w:type="dxa"/>
              <w:left w:w="160" w:type="dxa"/>
              <w:right w:w="160" w:type="dxa"/>
            </w:tcMar>
          </w:tcPr>
          <w:p>
            <w:pPr>
              <w:spacing w:after="40" w:line="276" w:lineRule="auto"/>
            </w:pPr>
            <w:r>
              <w:rPr>
                <w:sz w:val="19"/>
              </w:rPr>
              <w:t>• Component: Informational alert notice.</w:t>
            </w:r>
          </w:p>
          <w:p>
            <w:pPr>
              <w:spacing w:after="40" w:line="276" w:lineRule="auto"/>
            </w:pPr>
            <w:r>
              <w:rPr>
                <w:sz w:val="19"/>
              </w:rPr>
              <w:t>• Behavior: States that grade conversions strictly follow World Education Services (WES) US standards for guidance, while individual US institutions retain autonomous evaluation policies.</w:t>
            </w:r>
          </w:p>
        </w:tc>
      </w:tr>
      <w:tr>
        <w:tc>
          <w:tcPr>
            <w:tcW w:type="dxa" w:w="3168"/>
            <w:tcMar>
              <w:top w:w="120" w:type="dxa"/>
              <w:bottom w:w="120" w:type="dxa"/>
              <w:left w:w="160" w:type="dxa"/>
              <w:right w:w="160" w:type="dxa"/>
            </w:tcMar>
          </w:tcPr>
          <w:p>
            <w:r>
              <w:rPr>
                <w:b/>
                <w:sz w:val="19"/>
              </w:rPr>
              <w:t>ErrorRetryBanner</w:t>
            </w:r>
          </w:p>
        </w:tc>
        <w:tc>
          <w:tcPr>
            <w:tcW w:type="dxa" w:w="6768"/>
            <w:tcMar>
              <w:top w:w="120" w:type="dxa"/>
              <w:bottom w:w="120" w:type="dxa"/>
              <w:left w:w="160" w:type="dxa"/>
              <w:right w:w="160" w:type="dxa"/>
            </w:tcMar>
          </w:tcPr>
          <w:p>
            <w:pPr>
              <w:spacing w:after="40" w:line="276" w:lineRule="auto"/>
            </w:pPr>
            <w:r>
              <w:rPr>
                <w:sz w:val="19"/>
              </w:rPr>
              <w:t>• Component: Alert error state container.</w:t>
            </w:r>
          </w:p>
          <w:p>
            <w:pPr>
              <w:spacing w:after="40" w:line="276" w:lineRule="auto"/>
            </w:pPr>
            <w:r>
              <w:rPr>
                <w:sz w:val="19"/>
              </w:rPr>
              <w:t>• Behavior: Displayed when initial data fetch fails (HTTP 500/network error); replaces empty state and provides a 'Thử tải lại dữ liệu' retry button without showing misleading empty state.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