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118C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1BEA913F">
          <v:rect id="_x0000_i1044" alt="" style="width:481.9pt;height:.05pt;mso-width-percent:0;mso-height-percent:0;mso-width-percent:0;mso-height-percent:0" o:hralign="center" o:hrstd="t" o:hr="t" fillcolor="#a0a0a0" stroked="f"/>
        </w:pict>
      </w:r>
    </w:p>
    <w:p w14:paraId="2F08F0C4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Memory Experiment</w:t>
      </w:r>
    </w:p>
    <w:p w14:paraId="05095EEE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Comprehensive Final Analysis Report (Expanded Version)</w:t>
      </w:r>
    </w:p>
    <w:p w14:paraId="538B8E20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2026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Analysis long finals-.xlsx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108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36 (24 AI, 12 No-AI)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Mixed factorial experiment</w:t>
      </w:r>
    </w:p>
    <w:p w14:paraId="2BD84E46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59053099">
          <v:rect id="_x0000_i1043" alt="" style="width:481.9pt;height:.05pt;mso-width-percent:0;mso-height-percent:0;mso-width-percent:0;mso-height-percent:0" o:hralign="center" o:hrstd="t" o:hr="t" fillcolor="#a0a0a0" stroked="f"/>
        </w:pict>
      </w:r>
    </w:p>
    <w:p w14:paraId="243F9572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3654EADD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The present study investigated how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reading influences learning and memory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, with particular attention to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AI summaries are presented relative to reading and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those summaries are structured. While AI tools are increasingly embedded in learning environments, little is known about the cognitive consequences of their timing and format.</w:t>
      </w:r>
    </w:p>
    <w:p w14:paraId="72C2FFD1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Participants either read articles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AI-generated summaries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(AI group) or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AI assistance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(No-AI control). Within the AI group, summary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(pre-reading, synchronous, post-reading) and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(integrated vs segmented) were systematically manipulated.</w:t>
      </w:r>
    </w:p>
    <w:p w14:paraId="3DDCE578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 Findings</w:t>
      </w:r>
    </w:p>
    <w:p w14:paraId="5E5BFFB0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matters substantially for MCQ performance.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Presenting an AI summary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reading yields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large performance benefits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relative to synchronous or post-reading presentation (d = 1.62 and d = 1.34, respectively).</w:t>
      </w:r>
    </w:p>
    <w:p w14:paraId="0A6CEDA4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timing benefit does not generalize to free recall.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  <w:t>Recall performance is statistically equivalent across all timing conditions, confirmed via equivalence testing.</w:t>
      </w:r>
    </w:p>
    <w:p w14:paraId="0FE552DF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structure affects memory distortion, not learning gains.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Segmented summaries increase false memory endorsement by approximately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3.5×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independent of timing, trust, or time-on-task.</w:t>
      </w:r>
    </w:p>
    <w:p w14:paraId="6BA8E184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improves MCQ performance relative to no AI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but does not improve recall or article-only comprehension.</w:t>
      </w:r>
    </w:p>
    <w:p w14:paraId="48E0811C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does not increase overconfidence.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  <w:t>Confidence–performance calibration is poor in both AI and No-AI groups, but AI users are not more miscalibrated.</w:t>
      </w:r>
    </w:p>
    <w:p w14:paraId="67C5E842" w14:textId="77777777" w:rsidR="00254DEA" w:rsidRPr="00254DEA" w:rsidRDefault="00254DEA" w:rsidP="00254D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 AI moderates timing benefits.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br/>
        <w:t>High-trust users benefit less from pre-reading because they rely on AI summaries regardless of timing.</w:t>
      </w:r>
    </w:p>
    <w:p w14:paraId="2E6C2B0E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Overarching Conclusion</w:t>
      </w:r>
    </w:p>
    <w:p w14:paraId="06BC9454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AI summaries are most effective when used as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pre-reading scaffolds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comprehension quality rather than increasing exposure time. However,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information is structured matters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segmented summaries increase false memories without improving learning. These results emphasize that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cognitive alignment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not mere access to AI, determines educational benefit.</w:t>
      </w:r>
    </w:p>
    <w:p w14:paraId="0B92FEA2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7BF0C1B0">
          <v:rect id="_x0000_i1042" alt="" style="width:481.9pt;height:.05pt;mso-width-percent:0;mso-height-percent:0;mso-width-percent:0;mso-height-percent:0" o:hralign="center" o:hrstd="t" o:hr="t" fillcolor="#a0a0a0" stroked="f"/>
        </w:pict>
      </w:r>
    </w:p>
    <w:p w14:paraId="213F5576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Sample and Experimental Design</w:t>
      </w:r>
    </w:p>
    <w:p w14:paraId="15BE43B8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Participants</w:t>
      </w:r>
    </w:p>
    <w:p w14:paraId="3F38B7FF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A total of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 participants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completed the experiment: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707"/>
        <w:gridCol w:w="1829"/>
      </w:tblGrid>
      <w:tr w:rsidR="00254DEA" w:rsidRPr="00254DEA" w14:paraId="3FC71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7766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986DD56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 (Participants)</w:t>
            </w:r>
          </w:p>
        </w:tc>
        <w:tc>
          <w:tcPr>
            <w:tcW w:w="0" w:type="auto"/>
            <w:vAlign w:val="center"/>
            <w:hideMark/>
          </w:tcPr>
          <w:p w14:paraId="65E5E676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 (Observations)</w:t>
            </w:r>
          </w:p>
        </w:tc>
      </w:tr>
      <w:tr w:rsidR="00254DEA" w:rsidRPr="00254DEA" w14:paraId="3E7A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468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7EE8C7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58EB32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</w:tr>
      <w:tr w:rsidR="00254DEA" w:rsidRPr="00254DEA" w14:paraId="665FB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EF1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No-AI</w:t>
            </w:r>
          </w:p>
        </w:tc>
        <w:tc>
          <w:tcPr>
            <w:tcW w:w="0" w:type="auto"/>
            <w:vAlign w:val="center"/>
            <w:hideMark/>
          </w:tcPr>
          <w:p w14:paraId="5D581A9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0080F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</w:tr>
    </w:tbl>
    <w:p w14:paraId="0094FFDD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Each participant completed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trials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each involving a different article.</w:t>
      </w:r>
    </w:p>
    <w:p w14:paraId="6F28677F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4E1E1760">
          <v:rect id="_x0000_i1041" alt="" style="width:481.9pt;height:.05pt;mso-width-percent:0;mso-height-percent:0;mso-width-percent:0;mso-height-percent:0" o:hralign="center" o:hrstd="t" o:hr="t" fillcolor="#a0a0a0" stroked="f"/>
        </w:pict>
      </w:r>
    </w:p>
    <w:p w14:paraId="7C176566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Experimental Factors</w:t>
      </w:r>
    </w:p>
    <w:p w14:paraId="289A05CC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Group (Mixed Design)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753"/>
        <w:gridCol w:w="3901"/>
      </w:tblGrid>
      <w:tr w:rsidR="00254DEA" w:rsidRPr="00254DEA" w14:paraId="53080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D33CF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C1957BA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47580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Levels</w:t>
            </w:r>
          </w:p>
        </w:tc>
      </w:tr>
      <w:tr w:rsidR="00254DEA" w:rsidRPr="00254DEA" w14:paraId="53EC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331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Structure</w:t>
            </w:r>
          </w:p>
        </w:tc>
        <w:tc>
          <w:tcPr>
            <w:tcW w:w="0" w:type="auto"/>
            <w:vAlign w:val="center"/>
            <w:hideMark/>
          </w:tcPr>
          <w:p w14:paraId="2D5DF36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Between-subjects</w:t>
            </w:r>
          </w:p>
        </w:tc>
        <w:tc>
          <w:tcPr>
            <w:tcW w:w="0" w:type="auto"/>
            <w:vAlign w:val="center"/>
            <w:hideMark/>
          </w:tcPr>
          <w:p w14:paraId="084ED92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Integrated, Segmented</w:t>
            </w:r>
          </w:p>
        </w:tc>
      </w:tr>
      <w:tr w:rsidR="00254DEA" w:rsidRPr="00254DEA" w14:paraId="1B8A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9DE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Timing</w:t>
            </w:r>
          </w:p>
        </w:tc>
        <w:tc>
          <w:tcPr>
            <w:tcW w:w="0" w:type="auto"/>
            <w:vAlign w:val="center"/>
            <w:hideMark/>
          </w:tcPr>
          <w:p w14:paraId="2A46ED5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Within-subjects</w:t>
            </w:r>
          </w:p>
        </w:tc>
        <w:tc>
          <w:tcPr>
            <w:tcW w:w="0" w:type="auto"/>
            <w:vAlign w:val="center"/>
            <w:hideMark/>
          </w:tcPr>
          <w:p w14:paraId="7E0B88C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Pre-reading, Synchronous, Post-reading</w:t>
            </w:r>
          </w:p>
        </w:tc>
      </w:tr>
      <w:tr w:rsidR="00254DEA" w:rsidRPr="00254DEA" w14:paraId="3A90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453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2F5480C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Within-subjects</w:t>
            </w:r>
          </w:p>
        </w:tc>
        <w:tc>
          <w:tcPr>
            <w:tcW w:w="0" w:type="auto"/>
            <w:vAlign w:val="center"/>
            <w:hideMark/>
          </w:tcPr>
          <w:p w14:paraId="57DC540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CRISPR, UHI, Semiconductors</w:t>
            </w:r>
          </w:p>
        </w:tc>
      </w:tr>
    </w:tbl>
    <w:p w14:paraId="622E60E5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Participants</w:t>
      </w:r>
    </w:p>
    <w:p w14:paraId="28481F7D" w14:textId="77777777" w:rsidR="00254DEA" w:rsidRPr="00254DEA" w:rsidRDefault="00254DEA" w:rsidP="002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Article order was counterbalanced</w:t>
      </w:r>
    </w:p>
    <w:p w14:paraId="71ECC045" w14:textId="77777777" w:rsidR="00254DEA" w:rsidRPr="00254DEA" w:rsidRDefault="00254DEA" w:rsidP="002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Demographics, trust, dependence, and prior knowledge were measured once</w:t>
      </w:r>
    </w:p>
    <w:p w14:paraId="22990A4F" w14:textId="77777777" w:rsidR="00254DEA" w:rsidRPr="00254DEA" w:rsidRDefault="00254DEA" w:rsidP="00254D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Identical outcome measures were used across groups</w:t>
      </w:r>
    </w:p>
    <w:p w14:paraId="642D3A1C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3F85E2FA">
          <v:rect id="_x0000_i1040" alt="" style="width:481.9pt;height:.05pt;mso-width-percent:0;mso-height-percent:0;mso-width-percent:0;mso-height-percent:0" o:hralign="center" o:hrstd="t" o:hr="t" fillcolor="#a0a0a0" stroked="f"/>
        </w:pict>
      </w:r>
    </w:p>
    <w:p w14:paraId="361B33F7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Reading Materials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047"/>
        <w:gridCol w:w="1294"/>
        <w:gridCol w:w="1049"/>
      </w:tblGrid>
      <w:tr w:rsidR="00254DEA" w:rsidRPr="00254DEA" w14:paraId="64959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564DE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001B8633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AF7F51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MCQ</w:t>
            </w:r>
          </w:p>
        </w:tc>
        <w:tc>
          <w:tcPr>
            <w:tcW w:w="0" w:type="auto"/>
            <w:vAlign w:val="center"/>
            <w:hideMark/>
          </w:tcPr>
          <w:p w14:paraId="55818343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Difficulty</w:t>
            </w:r>
          </w:p>
        </w:tc>
      </w:tr>
      <w:tr w:rsidR="00254DEA" w:rsidRPr="00254DEA" w14:paraId="6C7E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3AF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CRISPR</w:t>
            </w:r>
          </w:p>
        </w:tc>
        <w:tc>
          <w:tcPr>
            <w:tcW w:w="0" w:type="auto"/>
            <w:vAlign w:val="center"/>
            <w:hideMark/>
          </w:tcPr>
          <w:p w14:paraId="42ACE62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 editing</w:t>
            </w:r>
          </w:p>
        </w:tc>
        <w:tc>
          <w:tcPr>
            <w:tcW w:w="0" w:type="auto"/>
            <w:vAlign w:val="center"/>
            <w:hideMark/>
          </w:tcPr>
          <w:p w14:paraId="7E05560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62.5%</w:t>
            </w:r>
          </w:p>
        </w:tc>
        <w:tc>
          <w:tcPr>
            <w:tcW w:w="0" w:type="auto"/>
            <w:vAlign w:val="center"/>
            <w:hideMark/>
          </w:tcPr>
          <w:p w14:paraId="2DC1524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Easiest</w:t>
            </w:r>
          </w:p>
        </w:tc>
      </w:tr>
      <w:tr w:rsidR="00254DEA" w:rsidRPr="00254DEA" w14:paraId="095F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824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UHI</w:t>
            </w:r>
          </w:p>
        </w:tc>
        <w:tc>
          <w:tcPr>
            <w:tcW w:w="0" w:type="auto"/>
            <w:vAlign w:val="center"/>
            <w:hideMark/>
          </w:tcPr>
          <w:p w14:paraId="4A9272D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Urban heat islands</w:t>
            </w:r>
          </w:p>
        </w:tc>
        <w:tc>
          <w:tcPr>
            <w:tcW w:w="0" w:type="auto"/>
            <w:vAlign w:val="center"/>
            <w:hideMark/>
          </w:tcPr>
          <w:p w14:paraId="6F4CCA3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60.1%</w:t>
            </w:r>
          </w:p>
        </w:tc>
        <w:tc>
          <w:tcPr>
            <w:tcW w:w="0" w:type="auto"/>
            <w:vAlign w:val="center"/>
            <w:hideMark/>
          </w:tcPr>
          <w:p w14:paraId="6FF79D7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254DEA" w:rsidRPr="00254DEA" w14:paraId="067A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FB2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Semiconductors</w:t>
            </w:r>
          </w:p>
        </w:tc>
        <w:tc>
          <w:tcPr>
            <w:tcW w:w="0" w:type="auto"/>
            <w:vAlign w:val="center"/>
            <w:hideMark/>
          </w:tcPr>
          <w:p w14:paraId="67BC4BA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Physics / technology</w:t>
            </w:r>
          </w:p>
        </w:tc>
        <w:tc>
          <w:tcPr>
            <w:tcW w:w="0" w:type="auto"/>
            <w:vAlign w:val="center"/>
            <w:hideMark/>
          </w:tcPr>
          <w:p w14:paraId="3DAE435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48.0%</w:t>
            </w:r>
          </w:p>
        </w:tc>
        <w:tc>
          <w:tcPr>
            <w:tcW w:w="0" w:type="auto"/>
            <w:vAlign w:val="center"/>
            <w:hideMark/>
          </w:tcPr>
          <w:p w14:paraId="615B4BDB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Hardest</w:t>
            </w:r>
          </w:p>
        </w:tc>
      </w:tr>
    </w:tbl>
    <w:p w14:paraId="118BF56A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This gradient ensured variability in cognitive demand.</w:t>
      </w:r>
    </w:p>
    <w:p w14:paraId="4152A3B9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0360510C">
          <v:rect id="_x0000_i1039" alt="" style="width:481.9pt;height:.05pt;mso-width-percent:0;mso-height-percent:0;mso-width-percent:0;mso-height-percent:0" o:hralign="center" o:hrstd="t" o:hr="t" fillcolor="#a0a0a0" stroked="f"/>
        </w:pict>
      </w:r>
    </w:p>
    <w:p w14:paraId="1A5FBD3C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Primary Findings</w:t>
      </w:r>
    </w:p>
    <w:p w14:paraId="65EB7625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Timing Effects on MCQ Performance (AI Group)</w:t>
      </w:r>
    </w:p>
    <w:p w14:paraId="152050FF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294"/>
        <w:gridCol w:w="575"/>
      </w:tblGrid>
      <w:tr w:rsidR="00254DEA" w:rsidRPr="00254DEA" w14:paraId="64B72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FB2A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2CE33A66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MCQ</w:t>
            </w:r>
          </w:p>
        </w:tc>
        <w:tc>
          <w:tcPr>
            <w:tcW w:w="0" w:type="auto"/>
            <w:vAlign w:val="center"/>
            <w:hideMark/>
          </w:tcPr>
          <w:p w14:paraId="2444211D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</w:t>
            </w:r>
          </w:p>
        </w:tc>
      </w:tr>
      <w:tr w:rsidR="00254DEA" w:rsidRPr="00254DEA" w14:paraId="768A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F28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Pre-reading</w:t>
            </w:r>
          </w:p>
        </w:tc>
        <w:tc>
          <w:tcPr>
            <w:tcW w:w="0" w:type="auto"/>
            <w:vAlign w:val="center"/>
            <w:hideMark/>
          </w:tcPr>
          <w:p w14:paraId="42E1768B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70.4%</w:t>
            </w:r>
          </w:p>
        </w:tc>
        <w:tc>
          <w:tcPr>
            <w:tcW w:w="0" w:type="auto"/>
            <w:vAlign w:val="center"/>
            <w:hideMark/>
          </w:tcPr>
          <w:p w14:paraId="5E8D873D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2.4%</w:t>
            </w:r>
          </w:p>
        </w:tc>
      </w:tr>
      <w:tr w:rsidR="00254DEA" w:rsidRPr="00254DEA" w14:paraId="4506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19D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Post-reading</w:t>
            </w:r>
          </w:p>
        </w:tc>
        <w:tc>
          <w:tcPr>
            <w:tcW w:w="0" w:type="auto"/>
            <w:vAlign w:val="center"/>
            <w:hideMark/>
          </w:tcPr>
          <w:p w14:paraId="1730DB9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56.0%</w:t>
            </w:r>
          </w:p>
        </w:tc>
        <w:tc>
          <w:tcPr>
            <w:tcW w:w="0" w:type="auto"/>
            <w:vAlign w:val="center"/>
            <w:hideMark/>
          </w:tcPr>
          <w:p w14:paraId="486425B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2.4%</w:t>
            </w:r>
          </w:p>
        </w:tc>
      </w:tr>
      <w:tr w:rsidR="00254DEA" w:rsidRPr="00254DEA" w14:paraId="4773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E25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152230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53.1%</w:t>
            </w:r>
          </w:p>
        </w:tc>
        <w:tc>
          <w:tcPr>
            <w:tcW w:w="0" w:type="auto"/>
            <w:vAlign w:val="center"/>
            <w:hideMark/>
          </w:tcPr>
          <w:p w14:paraId="5717CF2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2.4%</w:t>
            </w:r>
          </w:p>
        </w:tc>
      </w:tr>
    </w:tbl>
    <w:p w14:paraId="2F63849E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Pre-reading produced the highest performance by a wide margin.</w:t>
      </w:r>
    </w:p>
    <w:p w14:paraId="17E36A02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429B40DC">
          <v:rect id="_x0000_i1038" alt="" style="width:481.9pt;height:.05pt;mso-width-percent:0;mso-height-percent:0;mso-width-percent:0;mso-height-percent:0" o:hralign="center" o:hrstd="t" o:hr="t" fillcolor="#a0a0a0" stroked="f"/>
        </w:pict>
      </w:r>
    </w:p>
    <w:p w14:paraId="0A668295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ANOVA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600"/>
        <w:gridCol w:w="1140"/>
        <w:gridCol w:w="676"/>
        <w:gridCol w:w="764"/>
      </w:tblGrid>
      <w:tr w:rsidR="00254DEA" w:rsidRPr="00254DEA" w14:paraId="64550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C35E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E9D3D27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3FF7A0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3E0BBC1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33ADD9F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η²(ges)</w:t>
            </w:r>
          </w:p>
        </w:tc>
      </w:tr>
      <w:tr w:rsidR="00254DEA" w:rsidRPr="00254DEA" w14:paraId="6653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026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0A302BB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11.77</w:t>
            </w:r>
          </w:p>
        </w:tc>
        <w:tc>
          <w:tcPr>
            <w:tcW w:w="0" w:type="auto"/>
            <w:vAlign w:val="center"/>
            <w:hideMark/>
          </w:tcPr>
          <w:p w14:paraId="7508E0B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1.77, 38.87</w:t>
            </w:r>
          </w:p>
        </w:tc>
        <w:tc>
          <w:tcPr>
            <w:tcW w:w="0" w:type="auto"/>
            <w:vAlign w:val="center"/>
            <w:hideMark/>
          </w:tcPr>
          <w:p w14:paraId="70A1CE4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.001</w:t>
            </w:r>
          </w:p>
        </w:tc>
        <w:tc>
          <w:tcPr>
            <w:tcW w:w="0" w:type="auto"/>
            <w:vAlign w:val="center"/>
            <w:hideMark/>
          </w:tcPr>
          <w:p w14:paraId="0A72848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.254</w:t>
            </w:r>
          </w:p>
        </w:tc>
      </w:tr>
      <w:tr w:rsidR="00254DEA" w:rsidRPr="00254DEA" w14:paraId="1D0D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672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C9EE73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4.69</w:t>
            </w:r>
          </w:p>
        </w:tc>
        <w:tc>
          <w:tcPr>
            <w:tcW w:w="0" w:type="auto"/>
            <w:vAlign w:val="center"/>
            <w:hideMark/>
          </w:tcPr>
          <w:p w14:paraId="7718C44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1, 22</w:t>
            </w:r>
          </w:p>
        </w:tc>
        <w:tc>
          <w:tcPr>
            <w:tcW w:w="0" w:type="auto"/>
            <w:vAlign w:val="center"/>
            <w:hideMark/>
          </w:tcPr>
          <w:p w14:paraId="0C2DCFF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.042</w:t>
            </w:r>
          </w:p>
        </w:tc>
        <w:tc>
          <w:tcPr>
            <w:tcW w:w="0" w:type="auto"/>
            <w:vAlign w:val="center"/>
            <w:hideMark/>
          </w:tcPr>
          <w:p w14:paraId="548F6B2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.072</w:t>
            </w:r>
          </w:p>
        </w:tc>
      </w:tr>
      <w:tr w:rsidR="00254DEA" w:rsidRPr="00254DEA" w14:paraId="02AB2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0AEC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 × Structure</w:t>
            </w:r>
          </w:p>
        </w:tc>
        <w:tc>
          <w:tcPr>
            <w:tcW w:w="0" w:type="auto"/>
            <w:vAlign w:val="center"/>
            <w:hideMark/>
          </w:tcPr>
          <w:p w14:paraId="1811DEB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009B052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1.77, 38.87</w:t>
            </w:r>
          </w:p>
        </w:tc>
        <w:tc>
          <w:tcPr>
            <w:tcW w:w="0" w:type="auto"/>
            <w:vAlign w:val="center"/>
            <w:hideMark/>
          </w:tcPr>
          <w:p w14:paraId="562172B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.461</w:t>
            </w:r>
          </w:p>
        </w:tc>
        <w:tc>
          <w:tcPr>
            <w:tcW w:w="0" w:type="auto"/>
            <w:vAlign w:val="center"/>
            <w:hideMark/>
          </w:tcPr>
          <w:p w14:paraId="5C3BF17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.021</w:t>
            </w:r>
          </w:p>
        </w:tc>
      </w:tr>
    </w:tbl>
    <w:p w14:paraId="7BDC2AD9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Timing explains approximately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of the variance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in MCQ performance.</w:t>
      </w:r>
    </w:p>
    <w:p w14:paraId="4864CB88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0F60A858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5DE1052F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Post-hoc Comparisons (Holm-corrected)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16"/>
        <w:gridCol w:w="676"/>
        <w:gridCol w:w="1109"/>
      </w:tblGrid>
      <w:tr w:rsidR="00254DEA" w:rsidRPr="00254DEA" w14:paraId="5E8E0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0C1AE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7862EF5F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06861470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0CAC901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Cohen’s d</w:t>
            </w:r>
          </w:p>
        </w:tc>
      </w:tr>
      <w:tr w:rsidR="00254DEA" w:rsidRPr="00254DEA" w14:paraId="6524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3EF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 vs Sync</w:t>
            </w:r>
          </w:p>
        </w:tc>
        <w:tc>
          <w:tcPr>
            <w:tcW w:w="0" w:type="auto"/>
            <w:vAlign w:val="center"/>
            <w:hideMark/>
          </w:tcPr>
          <w:p w14:paraId="000EC45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+17.3%</w:t>
            </w:r>
          </w:p>
        </w:tc>
        <w:tc>
          <w:tcPr>
            <w:tcW w:w="0" w:type="auto"/>
            <w:vAlign w:val="center"/>
            <w:hideMark/>
          </w:tcPr>
          <w:p w14:paraId="518F5C8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.001</w:t>
            </w:r>
          </w:p>
        </w:tc>
        <w:tc>
          <w:tcPr>
            <w:tcW w:w="0" w:type="auto"/>
            <w:vAlign w:val="center"/>
            <w:hideMark/>
          </w:tcPr>
          <w:p w14:paraId="03DD8AD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1.62</w:t>
            </w:r>
          </w:p>
        </w:tc>
      </w:tr>
      <w:tr w:rsidR="00254DEA" w:rsidRPr="00254DEA" w14:paraId="7D11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C43D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 vs Post</w:t>
            </w:r>
          </w:p>
        </w:tc>
        <w:tc>
          <w:tcPr>
            <w:tcW w:w="0" w:type="auto"/>
            <w:vAlign w:val="center"/>
            <w:hideMark/>
          </w:tcPr>
          <w:p w14:paraId="652C431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+14.3%</w:t>
            </w:r>
          </w:p>
        </w:tc>
        <w:tc>
          <w:tcPr>
            <w:tcW w:w="0" w:type="auto"/>
            <w:vAlign w:val="center"/>
            <w:hideMark/>
          </w:tcPr>
          <w:p w14:paraId="6E165E2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.001</w:t>
            </w:r>
          </w:p>
        </w:tc>
        <w:tc>
          <w:tcPr>
            <w:tcW w:w="0" w:type="auto"/>
            <w:vAlign w:val="center"/>
            <w:hideMark/>
          </w:tcPr>
          <w:p w14:paraId="6B281DF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1.34</w:t>
            </w:r>
          </w:p>
        </w:tc>
      </w:tr>
      <w:tr w:rsidR="00254DEA" w:rsidRPr="00254DEA" w14:paraId="4016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D0C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vs Sync</w:t>
            </w:r>
          </w:p>
        </w:tc>
        <w:tc>
          <w:tcPr>
            <w:tcW w:w="0" w:type="auto"/>
            <w:vAlign w:val="center"/>
            <w:hideMark/>
          </w:tcPr>
          <w:p w14:paraId="615B1F8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+3.0%</w:t>
            </w:r>
          </w:p>
        </w:tc>
        <w:tc>
          <w:tcPr>
            <w:tcW w:w="0" w:type="auto"/>
            <w:vAlign w:val="center"/>
            <w:hideMark/>
          </w:tcPr>
          <w:p w14:paraId="7FD4A76C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.348</w:t>
            </w:r>
          </w:p>
        </w:tc>
        <w:tc>
          <w:tcPr>
            <w:tcW w:w="0" w:type="auto"/>
            <w:vAlign w:val="center"/>
            <w:hideMark/>
          </w:tcPr>
          <w:p w14:paraId="1C27DB5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</w:t>
            </w:r>
          </w:p>
        </w:tc>
      </w:tr>
    </w:tbl>
    <w:p w14:paraId="3243955F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Pre-reading confers a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very large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advantage over both alternatives, while synchronous and post-reading do not differ meaningfully.</w:t>
      </w:r>
    </w:p>
    <w:p w14:paraId="65C62C1C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60BD95F8">
          <v:rect id="_x0000_i1036" alt="" style="width:481.9pt;height:.05pt;mso-width-percent:0;mso-height-percent:0;mso-width-percent:0;mso-height-percent:0" o:hralign="center" o:hrstd="t" o:hr="t" fillcolor="#a0a0a0" stroked="f"/>
        </w:pict>
      </w:r>
    </w:p>
    <w:p w14:paraId="7E971CC3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Structure Effects on False Memory</w:t>
      </w:r>
    </w:p>
    <w:p w14:paraId="063768F1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False memory was operationalized as endorsement of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lure items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C1A205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Binomial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480"/>
        <w:gridCol w:w="1180"/>
        <w:gridCol w:w="495"/>
      </w:tblGrid>
      <w:tr w:rsidR="00254DEA" w:rsidRPr="00254DEA" w14:paraId="54A92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163B3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220A8140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80D4913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00B902B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</w:tr>
      <w:tr w:rsidR="00254DEA" w:rsidRPr="00254DEA" w14:paraId="1A68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BC7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(segmented)</w:t>
            </w:r>
          </w:p>
        </w:tc>
        <w:tc>
          <w:tcPr>
            <w:tcW w:w="0" w:type="auto"/>
            <w:vAlign w:val="center"/>
            <w:hideMark/>
          </w:tcPr>
          <w:p w14:paraId="47E3FE3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3.48</w:t>
            </w:r>
          </w:p>
        </w:tc>
        <w:tc>
          <w:tcPr>
            <w:tcW w:w="0" w:type="auto"/>
            <w:vAlign w:val="center"/>
            <w:hideMark/>
          </w:tcPr>
          <w:p w14:paraId="109C6DDB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[1.17, 10.4]</w:t>
            </w:r>
          </w:p>
        </w:tc>
        <w:tc>
          <w:tcPr>
            <w:tcW w:w="0" w:type="auto"/>
            <w:vAlign w:val="center"/>
            <w:hideMark/>
          </w:tcPr>
          <w:p w14:paraId="5C2F374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.025</w:t>
            </w:r>
          </w:p>
        </w:tc>
      </w:tr>
      <w:tr w:rsidR="00254DEA" w:rsidRPr="00254DEA" w14:paraId="41D2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2C1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77706E1B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2F3CF66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[0.57, 4.0]</w:t>
            </w:r>
          </w:p>
        </w:tc>
        <w:tc>
          <w:tcPr>
            <w:tcW w:w="0" w:type="auto"/>
            <w:vAlign w:val="center"/>
            <w:hideMark/>
          </w:tcPr>
          <w:p w14:paraId="50C572C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.414</w:t>
            </w:r>
          </w:p>
        </w:tc>
      </w:tr>
      <w:tr w:rsidR="00254DEA" w:rsidRPr="00254DEA" w14:paraId="1792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0E3B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Dependence</w:t>
            </w:r>
          </w:p>
        </w:tc>
        <w:tc>
          <w:tcPr>
            <w:tcW w:w="0" w:type="auto"/>
            <w:vAlign w:val="center"/>
            <w:hideMark/>
          </w:tcPr>
          <w:p w14:paraId="436FC1F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3170834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[0.25, 1.1]</w:t>
            </w:r>
          </w:p>
        </w:tc>
        <w:tc>
          <w:tcPr>
            <w:tcW w:w="0" w:type="auto"/>
            <w:vAlign w:val="center"/>
            <w:hideMark/>
          </w:tcPr>
          <w:p w14:paraId="4469529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.085</w:t>
            </w:r>
          </w:p>
        </w:tc>
      </w:tr>
    </w:tbl>
    <w:p w14:paraId="6CE76DA5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Segmented summaries substantially increase false memory risk, independent of user traits or timing.</w:t>
      </w:r>
    </w:p>
    <w:p w14:paraId="05664A75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5A376DF7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40431331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AI vs No-AI Comparison</w:t>
      </w:r>
    </w:p>
    <w:p w14:paraId="68440A7A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MCQ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80"/>
        <w:gridCol w:w="560"/>
        <w:gridCol w:w="1195"/>
      </w:tblGrid>
      <w:tr w:rsidR="00254DEA" w:rsidRPr="00254DEA" w14:paraId="5677C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D5B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5DCCC4E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296A07C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079767DA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 CI</w:t>
            </w:r>
          </w:p>
        </w:tc>
      </w:tr>
      <w:tr w:rsidR="00254DEA" w:rsidRPr="00254DEA" w14:paraId="306C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D31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68E246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59.8%</w:t>
            </w:r>
          </w:p>
        </w:tc>
        <w:tc>
          <w:tcPr>
            <w:tcW w:w="0" w:type="auto"/>
            <w:vAlign w:val="center"/>
            <w:hideMark/>
          </w:tcPr>
          <w:p w14:paraId="6616FBC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2.2%</w:t>
            </w:r>
          </w:p>
        </w:tc>
        <w:tc>
          <w:tcPr>
            <w:tcW w:w="0" w:type="auto"/>
            <w:vAlign w:val="center"/>
            <w:hideMark/>
          </w:tcPr>
          <w:p w14:paraId="1AC5C6E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[55.3, 64.3]</w:t>
            </w:r>
          </w:p>
        </w:tc>
      </w:tr>
      <w:tr w:rsidR="00254DEA" w:rsidRPr="00254DEA" w14:paraId="2BF8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061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No-AI</w:t>
            </w:r>
          </w:p>
        </w:tc>
        <w:tc>
          <w:tcPr>
            <w:tcW w:w="0" w:type="auto"/>
            <w:vAlign w:val="center"/>
            <w:hideMark/>
          </w:tcPr>
          <w:p w14:paraId="29C67C8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51.0%</w:t>
            </w:r>
          </w:p>
        </w:tc>
        <w:tc>
          <w:tcPr>
            <w:tcW w:w="0" w:type="auto"/>
            <w:vAlign w:val="center"/>
            <w:hideMark/>
          </w:tcPr>
          <w:p w14:paraId="3EA3BDD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3.1%</w:t>
            </w:r>
          </w:p>
        </w:tc>
        <w:tc>
          <w:tcPr>
            <w:tcW w:w="0" w:type="auto"/>
            <w:vAlign w:val="center"/>
            <w:hideMark/>
          </w:tcPr>
          <w:p w14:paraId="2AB63AB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[44.7, 57.3]</w:t>
            </w:r>
          </w:p>
        </w:tc>
      </w:tr>
    </w:tbl>
    <w:p w14:paraId="734243F4" w14:textId="77777777" w:rsidR="00254DEA" w:rsidRPr="00254DEA" w:rsidRDefault="00254DEA" w:rsidP="00254D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 = 0.57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p = .008</w:t>
      </w:r>
    </w:p>
    <w:p w14:paraId="5035E765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Article Accuracy</w:t>
      </w:r>
    </w:p>
    <w:p w14:paraId="3EFADBFE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No significant group differences (all p &gt; .50).</w:t>
      </w:r>
    </w:p>
    <w:p w14:paraId="38D671FF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AI selectively improves performance on AI-aligned tasks (MCQs), not generative recall.</w:t>
      </w:r>
    </w:p>
    <w:p w14:paraId="15E00B7F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654B1548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4F25C208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Secondary Findings</w:t>
      </w:r>
    </w:p>
    <w:p w14:paraId="76917DE7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Recall Is Resistant to Timing Manipulation</w:t>
      </w:r>
    </w:p>
    <w:p w14:paraId="4697EE52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All timing contrasts yielded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 &gt; .80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E8CBD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Testing (TOST)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316"/>
        <w:gridCol w:w="1115"/>
      </w:tblGrid>
      <w:tr w:rsidR="00254DEA" w:rsidRPr="00254DEA" w14:paraId="772EC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1D67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0B96E418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90% CI</w:t>
            </w:r>
          </w:p>
        </w:tc>
        <w:tc>
          <w:tcPr>
            <w:tcW w:w="0" w:type="auto"/>
            <w:vAlign w:val="center"/>
            <w:hideMark/>
          </w:tcPr>
          <w:p w14:paraId="36B920DF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</w:tr>
      <w:tr w:rsidR="00254DEA" w:rsidRPr="00254DEA" w14:paraId="19F7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772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 vs Sync</w:t>
            </w:r>
          </w:p>
        </w:tc>
        <w:tc>
          <w:tcPr>
            <w:tcW w:w="0" w:type="auto"/>
            <w:vAlign w:val="center"/>
            <w:hideMark/>
          </w:tcPr>
          <w:p w14:paraId="07D6BE6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[−0.53, 0.45]</w:t>
            </w:r>
          </w:p>
        </w:tc>
        <w:tc>
          <w:tcPr>
            <w:tcW w:w="0" w:type="auto"/>
            <w:vAlign w:val="center"/>
            <w:hideMark/>
          </w:tcPr>
          <w:p w14:paraId="545347D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Equivalent</w:t>
            </w:r>
          </w:p>
        </w:tc>
      </w:tr>
      <w:tr w:rsidR="00254DEA" w:rsidRPr="00254DEA" w14:paraId="3E00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8E8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 vs Post</w:t>
            </w:r>
          </w:p>
        </w:tc>
        <w:tc>
          <w:tcPr>
            <w:tcW w:w="0" w:type="auto"/>
            <w:vAlign w:val="center"/>
            <w:hideMark/>
          </w:tcPr>
          <w:p w14:paraId="369C53D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[−0.55, 0.43]</w:t>
            </w:r>
          </w:p>
        </w:tc>
        <w:tc>
          <w:tcPr>
            <w:tcW w:w="0" w:type="auto"/>
            <w:vAlign w:val="center"/>
            <w:hideMark/>
          </w:tcPr>
          <w:p w14:paraId="2648480D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Equivalent</w:t>
            </w:r>
          </w:p>
        </w:tc>
      </w:tr>
    </w:tbl>
    <w:p w14:paraId="449F1666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The null effect on recall is informative, not due to low power.</w:t>
      </w:r>
    </w:p>
    <w:p w14:paraId="262B2C6F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49F05A3D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61546EF2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Time-on-Task Is Not a Confound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67"/>
        <w:gridCol w:w="695"/>
      </w:tblGrid>
      <w:tr w:rsidR="00254DEA" w:rsidRPr="00254DEA" w14:paraId="6D9BD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124D5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1B5F074D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Time (sec)</w:t>
            </w:r>
          </w:p>
        </w:tc>
        <w:tc>
          <w:tcPr>
            <w:tcW w:w="0" w:type="auto"/>
            <w:vAlign w:val="center"/>
            <w:hideMark/>
          </w:tcPr>
          <w:p w14:paraId="27A7DB7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MCQ</w:t>
            </w:r>
          </w:p>
        </w:tc>
      </w:tr>
      <w:tr w:rsidR="00254DEA" w:rsidRPr="00254DEA" w14:paraId="7FCBC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E666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Pre-reading</w:t>
            </w:r>
          </w:p>
        </w:tc>
        <w:tc>
          <w:tcPr>
            <w:tcW w:w="0" w:type="auto"/>
            <w:vAlign w:val="center"/>
            <w:hideMark/>
          </w:tcPr>
          <w:p w14:paraId="118E916D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536</w:t>
            </w:r>
          </w:p>
        </w:tc>
        <w:tc>
          <w:tcPr>
            <w:tcW w:w="0" w:type="auto"/>
            <w:vAlign w:val="center"/>
            <w:hideMark/>
          </w:tcPr>
          <w:p w14:paraId="256DC92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70.4%</w:t>
            </w:r>
          </w:p>
        </w:tc>
      </w:tr>
      <w:tr w:rsidR="00254DEA" w:rsidRPr="00254DEA" w14:paraId="476A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02E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63D85A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533</w:t>
            </w:r>
          </w:p>
        </w:tc>
        <w:tc>
          <w:tcPr>
            <w:tcW w:w="0" w:type="auto"/>
            <w:vAlign w:val="center"/>
            <w:hideMark/>
          </w:tcPr>
          <w:p w14:paraId="013E204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53.1%</w:t>
            </w:r>
          </w:p>
        </w:tc>
      </w:tr>
      <w:tr w:rsidR="00254DEA" w:rsidRPr="00254DEA" w14:paraId="54E2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A77D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Post-reading</w:t>
            </w:r>
          </w:p>
        </w:tc>
        <w:tc>
          <w:tcPr>
            <w:tcW w:w="0" w:type="auto"/>
            <w:vAlign w:val="center"/>
            <w:hideMark/>
          </w:tcPr>
          <w:p w14:paraId="203D44D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531</w:t>
            </w:r>
          </w:p>
        </w:tc>
        <w:tc>
          <w:tcPr>
            <w:tcW w:w="0" w:type="auto"/>
            <w:vAlign w:val="center"/>
            <w:hideMark/>
          </w:tcPr>
          <w:p w14:paraId="6986010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56.0%</w:t>
            </w:r>
          </w:p>
        </w:tc>
      </w:tr>
    </w:tbl>
    <w:p w14:paraId="0F809939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Regression controlling for total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00"/>
        <w:gridCol w:w="691"/>
      </w:tblGrid>
      <w:tr w:rsidR="00254DEA" w:rsidRPr="00254DEA" w14:paraId="28866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2D475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5D1D618C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4B3417E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</w:tr>
      <w:tr w:rsidR="00254DEA" w:rsidRPr="00254DEA" w14:paraId="2D61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EE5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Pre-reading (vs Sync)</w:t>
            </w:r>
          </w:p>
        </w:tc>
        <w:tc>
          <w:tcPr>
            <w:tcW w:w="0" w:type="auto"/>
            <w:vAlign w:val="center"/>
            <w:hideMark/>
          </w:tcPr>
          <w:p w14:paraId="084C6CE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76FB9A7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.001</w:t>
            </w:r>
          </w:p>
        </w:tc>
      </w:tr>
      <w:tr w:rsidR="00254DEA" w:rsidRPr="00254DEA" w14:paraId="588D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7FA0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time</w:t>
            </w:r>
          </w:p>
        </w:tc>
        <w:tc>
          <w:tcPr>
            <w:tcW w:w="0" w:type="auto"/>
            <w:vAlign w:val="center"/>
            <w:hideMark/>
          </w:tcPr>
          <w:p w14:paraId="7143CE9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5158D91C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.578</w:t>
            </w:r>
          </w:p>
        </w:tc>
      </w:tr>
    </w:tbl>
    <w:p w14:paraId="555D0901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Pre-reading benefits reflect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quality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not time spent.</w:t>
      </w:r>
    </w:p>
    <w:p w14:paraId="6D2F455A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6A0FC779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49846D4E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Null Results and Interpretability</w:t>
      </w:r>
    </w:p>
    <w:p w14:paraId="78621A7B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No AI-Induced Overconfidence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21"/>
      </w:tblGrid>
      <w:tr w:rsidR="00254DEA" w:rsidRPr="00254DEA" w14:paraId="7715B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D605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68568E3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Overconfidence Score</w:t>
            </w:r>
          </w:p>
        </w:tc>
      </w:tr>
      <w:tr w:rsidR="00254DEA" w:rsidRPr="00254DEA" w14:paraId="06F9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8AA3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94B4097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0.020</w:t>
            </w:r>
          </w:p>
        </w:tc>
      </w:tr>
      <w:tr w:rsidR="00254DEA" w:rsidRPr="00254DEA" w14:paraId="6BA3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01E9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No-AI</w:t>
            </w:r>
          </w:p>
        </w:tc>
        <w:tc>
          <w:tcPr>
            <w:tcW w:w="0" w:type="auto"/>
            <w:vAlign w:val="center"/>
            <w:hideMark/>
          </w:tcPr>
          <w:p w14:paraId="184A0B62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−0.041</w:t>
            </w:r>
          </w:p>
        </w:tc>
      </w:tr>
    </w:tbl>
    <w:p w14:paraId="77215D7C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t(31.7) = 0.16, p = .873</w:t>
      </w:r>
    </w:p>
    <w:p w14:paraId="560C5734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AI does not inflate confidence beyond performance.</w:t>
      </w:r>
    </w:p>
    <w:p w14:paraId="327A5B28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3E1BE768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1B07CB46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Individual Differences</w:t>
      </w:r>
    </w:p>
    <w:p w14:paraId="150E09AF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Trust Moderates Timing Benefit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16"/>
        <w:gridCol w:w="495"/>
      </w:tblGrid>
      <w:tr w:rsidR="00254DEA" w:rsidRPr="00254DEA" w14:paraId="055CE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63C77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5C9A7C6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2DA3F0E2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</w:tr>
      <w:tr w:rsidR="00254DEA" w:rsidRPr="00254DEA" w14:paraId="2AB7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569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74862B0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−0.15</w:t>
            </w:r>
          </w:p>
        </w:tc>
        <w:tc>
          <w:tcPr>
            <w:tcW w:w="0" w:type="auto"/>
            <w:vAlign w:val="center"/>
            <w:hideMark/>
          </w:tcPr>
          <w:p w14:paraId="5A2DD0FC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.011</w:t>
            </w:r>
          </w:p>
        </w:tc>
      </w:tr>
    </w:tbl>
    <w:p w14:paraId="50B0FC7F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High-trust users benefit similarly from post-reading, reducing pre-reading’s relative advantage.</w:t>
      </w:r>
    </w:p>
    <w:p w14:paraId="30D3831B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34FAD2B8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3D597D06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Prior Knowledge Effect</w:t>
      </w:r>
    </w:p>
    <w:p w14:paraId="2D1E1D55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Higher prior knowledge predicts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summary accuracy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(β = −0.40, p = .049), suggesting possible disengagement or schema-driven interference.</w:t>
      </w:r>
    </w:p>
    <w:p w14:paraId="77580AA9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4BEC3654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079DEBDC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Robustness Checks</w:t>
      </w:r>
    </w:p>
    <w:p w14:paraId="506E1124" w14:textId="77777777" w:rsidR="00254DEA" w:rsidRPr="00254DEA" w:rsidRDefault="00254DEA" w:rsidP="002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Leave-one-article-out analyses preserved large effects</w:t>
      </w:r>
    </w:p>
    <w:p w14:paraId="29947117" w14:textId="77777777" w:rsidR="00254DEA" w:rsidRPr="00254DEA" w:rsidRDefault="00254DEA" w:rsidP="002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Random-slopes models improved fit without altering conclusions</w:t>
      </w:r>
    </w:p>
    <w:p w14:paraId="3EC33F1F" w14:textId="77777777" w:rsidR="00254DEA" w:rsidRPr="00254DEA" w:rsidRDefault="00254DEA" w:rsidP="00254D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83% of individuals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showed a pre-reading advantage</w:t>
      </w:r>
    </w:p>
    <w:p w14:paraId="635951D7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6570D6DB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74A58D2E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Mechanism Analysis</w:t>
      </w:r>
    </w:p>
    <w:p w14:paraId="0E260304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What Explains the Pre-reading Benefit?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220"/>
        <w:gridCol w:w="1129"/>
      </w:tblGrid>
      <w:tr w:rsidR="00254DEA" w:rsidRPr="00254DEA" w14:paraId="5A2DD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E7A1B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AF4CDA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Pre–Sync β</w:t>
            </w:r>
          </w:p>
        </w:tc>
        <w:tc>
          <w:tcPr>
            <w:tcW w:w="0" w:type="auto"/>
            <w:vAlign w:val="center"/>
            <w:hideMark/>
          </w:tcPr>
          <w:p w14:paraId="64242860" w14:textId="77777777" w:rsidR="00254DEA" w:rsidRPr="00254DEA" w:rsidRDefault="00254DEA" w:rsidP="00254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Reduction</w:t>
            </w:r>
          </w:p>
        </w:tc>
      </w:tr>
      <w:tr w:rsidR="00254DEA" w:rsidRPr="00254DEA" w14:paraId="0F54C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AB3A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 only</w:t>
            </w:r>
          </w:p>
        </w:tc>
        <w:tc>
          <w:tcPr>
            <w:tcW w:w="0" w:type="auto"/>
            <w:vAlign w:val="center"/>
            <w:hideMark/>
          </w:tcPr>
          <w:p w14:paraId="6E529CA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72505834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254DEA" w:rsidRPr="00254DEA" w14:paraId="7E94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0135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Summary accuracy</w:t>
            </w:r>
          </w:p>
        </w:tc>
        <w:tc>
          <w:tcPr>
            <w:tcW w:w="0" w:type="auto"/>
            <w:vAlign w:val="center"/>
            <w:hideMark/>
          </w:tcPr>
          <w:p w14:paraId="56E2265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</w:t>
            </w:r>
          </w:p>
        </w:tc>
        <w:tc>
          <w:tcPr>
            <w:tcW w:w="0" w:type="auto"/>
            <w:vAlign w:val="center"/>
            <w:hideMark/>
          </w:tcPr>
          <w:p w14:paraId="3CE6D55E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71%</w:t>
            </w:r>
          </w:p>
        </w:tc>
      </w:tr>
      <w:tr w:rsidR="00254DEA" w:rsidRPr="00254DEA" w14:paraId="3C5D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8F68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Summary + Article accuracy</w:t>
            </w:r>
          </w:p>
        </w:tc>
        <w:tc>
          <w:tcPr>
            <w:tcW w:w="0" w:type="auto"/>
            <w:vAlign w:val="center"/>
            <w:hideMark/>
          </w:tcPr>
          <w:p w14:paraId="43A558E1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0.017</w:t>
            </w:r>
          </w:p>
        </w:tc>
        <w:tc>
          <w:tcPr>
            <w:tcW w:w="0" w:type="auto"/>
            <w:vAlign w:val="center"/>
            <w:hideMark/>
          </w:tcPr>
          <w:p w14:paraId="394F903F" w14:textId="77777777" w:rsidR="00254DEA" w:rsidRPr="00254DEA" w:rsidRDefault="00254DEA" w:rsidP="00254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D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</w:tbl>
    <w:p w14:paraId="6DC0A658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Pre-reading enhances both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comprehension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understanding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which jointly explain nearly all timing effects.</w:t>
      </w:r>
    </w:p>
    <w:p w14:paraId="12BA6D8A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0B67B065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15090C72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Conclusions and Implications</w:t>
      </w:r>
    </w:p>
    <w:p w14:paraId="172F2591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Confirmed Effects</w:t>
      </w:r>
    </w:p>
    <w:p w14:paraId="06C0EF57" w14:textId="77777777" w:rsidR="00254DEA" w:rsidRPr="00254DEA" w:rsidRDefault="00254DEA" w:rsidP="002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Pre-reading is the optimal AI timing for MCQ learning</w:t>
      </w:r>
    </w:p>
    <w:p w14:paraId="32AA90E8" w14:textId="77777777" w:rsidR="00254DEA" w:rsidRPr="00254DEA" w:rsidRDefault="00254DEA" w:rsidP="002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Segmented summaries increase false memories</w:t>
      </w:r>
    </w:p>
    <w:p w14:paraId="5485E5E1" w14:textId="77777777" w:rsidR="00254DEA" w:rsidRPr="00254DEA" w:rsidRDefault="00254DEA" w:rsidP="002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Trust moderates AI benefit</w:t>
      </w:r>
    </w:p>
    <w:p w14:paraId="2FD0BB29" w14:textId="77777777" w:rsidR="00254DEA" w:rsidRPr="00254DEA" w:rsidRDefault="00254DEA" w:rsidP="00254D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AI improves MCQ but not recall</w:t>
      </w:r>
    </w:p>
    <w:p w14:paraId="75A8E63D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Implications</w:t>
      </w:r>
    </w:p>
    <w:p w14:paraId="6B95A3E6" w14:textId="77777777" w:rsidR="00254DEA" w:rsidRPr="00254DEA" w:rsidRDefault="00254DEA" w:rsidP="002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Present AI summaries </w:t>
      </w:r>
      <w:r w:rsidRPr="0025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reading</w:t>
      </w:r>
    </w:p>
    <w:p w14:paraId="66BDA46A" w14:textId="77777777" w:rsidR="00254DEA" w:rsidRPr="00254DEA" w:rsidRDefault="00254DEA" w:rsidP="002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Use integrated formats to reduce false memory</w:t>
      </w:r>
    </w:p>
    <w:p w14:paraId="14596C13" w14:textId="77777777" w:rsidR="00254DEA" w:rsidRPr="00254DEA" w:rsidRDefault="00254DEA" w:rsidP="00254D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Evaluate learning with multiple outcome types</w:t>
      </w:r>
    </w:p>
    <w:p w14:paraId="4593C827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0F467E33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172634C" w14:textId="77777777" w:rsidR="00254DEA" w:rsidRPr="00254DEA" w:rsidRDefault="00254DEA" w:rsidP="0025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Final Takeaway</w:t>
      </w:r>
    </w:p>
    <w:p w14:paraId="2C58405D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AI does not inherently improve learning.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and how AI is used determines whether it scaffolds understanding or distorts memory.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Pre-reading alignment enhances comprehension; poor structural design increases cognitive risk.</w:t>
      </w:r>
    </w:p>
    <w:p w14:paraId="50A9FCE3" w14:textId="77777777" w:rsidR="00254DEA" w:rsidRPr="00254DEA" w:rsidRDefault="00BC6853" w:rsidP="0025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853">
        <w:rPr>
          <w:rFonts w:ascii="Times New Roman" w:eastAsia="Times New Roman" w:hAnsi="Times New Roman" w:cs="Times New Roman"/>
          <w:noProof/>
          <w:kern w:val="0"/>
        </w:rPr>
        <w:pict w14:anchorId="0D0CED96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245766C9" w14:textId="77777777" w:rsidR="00254DEA" w:rsidRPr="00254DEA" w:rsidRDefault="00254DEA" w:rsidP="0025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If you want next, I can:</w:t>
      </w:r>
    </w:p>
    <w:p w14:paraId="480EEA16" w14:textId="77777777" w:rsidR="00254DEA" w:rsidRPr="00254DEA" w:rsidRDefault="00254DEA" w:rsidP="002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convert this into a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Results + Discussion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 format</w:t>
      </w:r>
    </w:p>
    <w:p w14:paraId="7F372940" w14:textId="77777777" w:rsidR="00254DEA" w:rsidRPr="00254DEA" w:rsidRDefault="00254DEA" w:rsidP="002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rewrite it as a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Human Behaviour–style manuscript</w:t>
      </w:r>
    </w:p>
    <w:p w14:paraId="02368599" w14:textId="77777777" w:rsidR="00254DEA" w:rsidRPr="00254DEA" w:rsidRDefault="00254DEA" w:rsidP="002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figures and captions</w:t>
      </w:r>
      <w:r w:rsidRPr="00254DEA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00AFF01D" w14:textId="77777777" w:rsidR="00254DEA" w:rsidRPr="00254DEA" w:rsidRDefault="00254DEA" w:rsidP="00254D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DEA">
        <w:rPr>
          <w:rFonts w:ascii="Times New Roman" w:eastAsia="Times New Roman" w:hAnsi="Times New Roman" w:cs="Times New Roman"/>
          <w:kern w:val="0"/>
          <w14:ligatures w14:val="none"/>
        </w:rPr>
        <w:t xml:space="preserve">prepare a </w:t>
      </w:r>
      <w:r w:rsidRPr="0025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reviewer rebuttal document</w:t>
      </w:r>
    </w:p>
    <w:p w14:paraId="064436B0" w14:textId="77777777" w:rsidR="00B10658" w:rsidRPr="00254DEA" w:rsidRDefault="00B10658" w:rsidP="00254DEA"/>
    <w:sectPr w:rsidR="00B10658" w:rsidRPr="00254D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A89"/>
    <w:multiLevelType w:val="multilevel"/>
    <w:tmpl w:val="78B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7F32"/>
    <w:multiLevelType w:val="multilevel"/>
    <w:tmpl w:val="CB0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0A1A"/>
    <w:multiLevelType w:val="multilevel"/>
    <w:tmpl w:val="5216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A2DF1"/>
    <w:multiLevelType w:val="multilevel"/>
    <w:tmpl w:val="510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5711"/>
    <w:multiLevelType w:val="multilevel"/>
    <w:tmpl w:val="FF8C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63F47"/>
    <w:multiLevelType w:val="multilevel"/>
    <w:tmpl w:val="84D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54EF"/>
    <w:multiLevelType w:val="multilevel"/>
    <w:tmpl w:val="462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40268"/>
    <w:multiLevelType w:val="multilevel"/>
    <w:tmpl w:val="D8D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852DC"/>
    <w:multiLevelType w:val="multilevel"/>
    <w:tmpl w:val="240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E4C8E"/>
    <w:multiLevelType w:val="multilevel"/>
    <w:tmpl w:val="6B80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64429"/>
    <w:multiLevelType w:val="multilevel"/>
    <w:tmpl w:val="5A3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309C3"/>
    <w:multiLevelType w:val="multilevel"/>
    <w:tmpl w:val="4CD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D76EF"/>
    <w:multiLevelType w:val="multilevel"/>
    <w:tmpl w:val="083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8349E"/>
    <w:multiLevelType w:val="multilevel"/>
    <w:tmpl w:val="A7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31D6B"/>
    <w:multiLevelType w:val="multilevel"/>
    <w:tmpl w:val="6C96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B6EB6"/>
    <w:multiLevelType w:val="multilevel"/>
    <w:tmpl w:val="1AB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47EA0"/>
    <w:multiLevelType w:val="multilevel"/>
    <w:tmpl w:val="125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0416B"/>
    <w:multiLevelType w:val="multilevel"/>
    <w:tmpl w:val="CC7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C3C72"/>
    <w:multiLevelType w:val="multilevel"/>
    <w:tmpl w:val="7DC8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3D741A"/>
    <w:multiLevelType w:val="multilevel"/>
    <w:tmpl w:val="C786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F3FF9"/>
    <w:multiLevelType w:val="multilevel"/>
    <w:tmpl w:val="097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37381"/>
    <w:multiLevelType w:val="multilevel"/>
    <w:tmpl w:val="E8F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50CF6"/>
    <w:multiLevelType w:val="multilevel"/>
    <w:tmpl w:val="BE12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419B4"/>
    <w:multiLevelType w:val="multilevel"/>
    <w:tmpl w:val="A5D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E1198"/>
    <w:multiLevelType w:val="multilevel"/>
    <w:tmpl w:val="69E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A6939"/>
    <w:multiLevelType w:val="multilevel"/>
    <w:tmpl w:val="F22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12DA8"/>
    <w:multiLevelType w:val="multilevel"/>
    <w:tmpl w:val="677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D38E9"/>
    <w:multiLevelType w:val="multilevel"/>
    <w:tmpl w:val="01F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2056D"/>
    <w:multiLevelType w:val="multilevel"/>
    <w:tmpl w:val="9D7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E4F15"/>
    <w:multiLevelType w:val="multilevel"/>
    <w:tmpl w:val="620C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767970"/>
    <w:multiLevelType w:val="multilevel"/>
    <w:tmpl w:val="2406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84DB2"/>
    <w:multiLevelType w:val="multilevel"/>
    <w:tmpl w:val="EE1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504634">
    <w:abstractNumId w:val="18"/>
  </w:num>
  <w:num w:numId="2" w16cid:durableId="1921596054">
    <w:abstractNumId w:val="3"/>
  </w:num>
  <w:num w:numId="3" w16cid:durableId="96601555">
    <w:abstractNumId w:val="21"/>
  </w:num>
  <w:num w:numId="4" w16cid:durableId="656541721">
    <w:abstractNumId w:val="5"/>
  </w:num>
  <w:num w:numId="5" w16cid:durableId="991525186">
    <w:abstractNumId w:val="0"/>
  </w:num>
  <w:num w:numId="6" w16cid:durableId="822506447">
    <w:abstractNumId w:val="8"/>
  </w:num>
  <w:num w:numId="7" w16cid:durableId="1905724332">
    <w:abstractNumId w:val="23"/>
  </w:num>
  <w:num w:numId="8" w16cid:durableId="1149976603">
    <w:abstractNumId w:val="25"/>
  </w:num>
  <w:num w:numId="9" w16cid:durableId="92092942">
    <w:abstractNumId w:val="1"/>
  </w:num>
  <w:num w:numId="10" w16cid:durableId="742527632">
    <w:abstractNumId w:val="29"/>
  </w:num>
  <w:num w:numId="11" w16cid:durableId="1433011270">
    <w:abstractNumId w:val="19"/>
  </w:num>
  <w:num w:numId="12" w16cid:durableId="695160149">
    <w:abstractNumId w:val="30"/>
  </w:num>
  <w:num w:numId="13" w16cid:durableId="603418421">
    <w:abstractNumId w:val="2"/>
  </w:num>
  <w:num w:numId="14" w16cid:durableId="1681736861">
    <w:abstractNumId w:val="6"/>
  </w:num>
  <w:num w:numId="15" w16cid:durableId="1373379323">
    <w:abstractNumId w:val="20"/>
  </w:num>
  <w:num w:numId="16" w16cid:durableId="1890795868">
    <w:abstractNumId w:val="27"/>
  </w:num>
  <w:num w:numId="17" w16cid:durableId="1878422660">
    <w:abstractNumId w:val="28"/>
  </w:num>
  <w:num w:numId="18" w16cid:durableId="1853645670">
    <w:abstractNumId w:val="12"/>
  </w:num>
  <w:num w:numId="19" w16cid:durableId="65156395">
    <w:abstractNumId w:val="17"/>
  </w:num>
  <w:num w:numId="20" w16cid:durableId="1185511486">
    <w:abstractNumId w:val="22"/>
  </w:num>
  <w:num w:numId="21" w16cid:durableId="1910068029">
    <w:abstractNumId w:val="13"/>
  </w:num>
  <w:num w:numId="22" w16cid:durableId="1230380798">
    <w:abstractNumId w:val="4"/>
  </w:num>
  <w:num w:numId="23" w16cid:durableId="756370008">
    <w:abstractNumId w:val="9"/>
  </w:num>
  <w:num w:numId="24" w16cid:durableId="834105637">
    <w:abstractNumId w:val="10"/>
  </w:num>
  <w:num w:numId="25" w16cid:durableId="1342009963">
    <w:abstractNumId w:val="7"/>
  </w:num>
  <w:num w:numId="26" w16cid:durableId="1700742742">
    <w:abstractNumId w:val="14"/>
  </w:num>
  <w:num w:numId="27" w16cid:durableId="1527252438">
    <w:abstractNumId w:val="26"/>
  </w:num>
  <w:num w:numId="28" w16cid:durableId="955016705">
    <w:abstractNumId w:val="15"/>
  </w:num>
  <w:num w:numId="29" w16cid:durableId="2100642018">
    <w:abstractNumId w:val="31"/>
  </w:num>
  <w:num w:numId="30" w16cid:durableId="1705404070">
    <w:abstractNumId w:val="11"/>
  </w:num>
  <w:num w:numId="31" w16cid:durableId="1422143800">
    <w:abstractNumId w:val="16"/>
  </w:num>
  <w:num w:numId="32" w16cid:durableId="1735436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50"/>
    <w:rsid w:val="000B5975"/>
    <w:rsid w:val="000E4758"/>
    <w:rsid w:val="001F4B6C"/>
    <w:rsid w:val="00254DEA"/>
    <w:rsid w:val="0026081F"/>
    <w:rsid w:val="002A315A"/>
    <w:rsid w:val="00320050"/>
    <w:rsid w:val="008C58F8"/>
    <w:rsid w:val="008E4A0A"/>
    <w:rsid w:val="009C1FCD"/>
    <w:rsid w:val="00A25545"/>
    <w:rsid w:val="00A43D31"/>
    <w:rsid w:val="00B10658"/>
    <w:rsid w:val="00BC6853"/>
    <w:rsid w:val="00E62A52"/>
    <w:rsid w:val="00FC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A294"/>
  <w15:chartTrackingRefBased/>
  <w15:docId w15:val="{67A3AE40-6264-4F4D-9821-401A8FD9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2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2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2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2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2005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005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005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005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005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005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005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005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005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005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00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320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foreground">
    <w:name w:val="text-foreground"/>
    <w:basedOn w:val="Normale"/>
    <w:rsid w:val="00320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nfasigrassetto">
    <w:name w:val="Strong"/>
    <w:basedOn w:val="Carpredefinitoparagrafo"/>
    <w:uiPriority w:val="22"/>
    <w:qFormat/>
    <w:rsid w:val="00320050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2005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32005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20050"/>
    <w:rPr>
      <w:color w:val="800080"/>
      <w:u w:val="single"/>
    </w:rPr>
  </w:style>
  <w:style w:type="character" w:styleId="Enfasicorsivo">
    <w:name w:val="Emphasis"/>
    <w:basedOn w:val="Carpredefinitoparagrafo"/>
    <w:uiPriority w:val="20"/>
    <w:qFormat/>
    <w:rsid w:val="00320050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25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Duccio Profeti</dc:creator>
  <cp:keywords/>
  <dc:description/>
  <cp:lastModifiedBy>Duccio Profeti</cp:lastModifiedBy>
  <cp:revision>3</cp:revision>
  <dcterms:created xsi:type="dcterms:W3CDTF">2026-01-03T07:34:00Z</dcterms:created>
  <dcterms:modified xsi:type="dcterms:W3CDTF">2026-01-03T11:16:00Z</dcterms:modified>
</cp:coreProperties>
</file>