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F6B78"/>
          <w:sz w:val="18"/>
        </w:rPr>
        <w:t>BÁO CÁO TIẾN ĐỘ</w:t>
      </w:r>
    </w:p>
    <w:p>
      <w:pPr>
        <w:pStyle w:val="Title"/>
      </w:pPr>
      <w:r>
        <w:t>Module 2 RAG và tìm kiếm chính sách</w:t>
      </w:r>
    </w:p>
    <w:p>
      <w:pPr>
        <w:spacing w:after="200"/>
      </w:pPr>
      <w:r>
        <w:t>Báo cáo phạm vi đã tích hợp vào luồng RAG, kết quả đánh giá, kiểm tra hồi quy và phần việc còn lại</w:t>
      </w:r>
    </w:p>
    <w:p>
      <w:pPr>
        <w:spacing w:after="180"/>
      </w:pPr>
      <w:r>
        <w:t>Kết luận tiến độ: Đã hoàn tất benchmark năm phương pháp và tích hợp các chế độ TF-IDF, BM25, dense, hybrid RRF và reranking vào dịch vụ RAG. BM25 là mặc định vì đạt p95 0,664 ms và chất lượng ngang TF-IDF trên bộ đánh giá. Các guardrail hiện có vẫn chặn truy vấn ngoài phạm vi và chính sách hết hạn trước khi sinh câu trả lời.</w:t>
      </w:r>
    </w:p>
    <w:tbl>
      <w:tblPr>
        <w:tblW w:type="auto" w:w="0"/>
        <w:jc w:val="center"/>
        <w:tblLayout w:type="fixed"/>
        <w:tblLook w:firstColumn="1" w:firstRow="1" w:lastColumn="0" w:lastRow="0" w:noHBand="0" w:noVBand="1" w:val="04A0"/>
      </w:tblPr>
      <w:tblGrid>
        <w:gridCol w:w="4939"/>
        <w:gridCol w:w="4939"/>
      </w:tblGrid>
      <w:tr>
        <w:trPr>
          <w:cantSplit/>
        </w:trPr>
        <w:tc>
          <w:tcPr>
            <w:tcW w:type="dxa" w:w="4917"/>
            <w:shd w:fill="E7F3EC"/>
            <w:tcBorders>
              <w:top w:val="single" w:sz="6" w:color="E7F3EC"/>
              <w:left w:val="single" w:sz="6" w:color="E7F3EC"/>
              <w:bottom w:val="single" w:sz="6" w:color="E7F3EC"/>
              <w:right w:val="single" w:sz="6" w:color="E7F3EC"/>
              <w:insideH w:val="single" w:sz="6" w:color="E7F3EC"/>
              <w:insideV w:val="single" w:sz="6" w:color="E7F3EC"/>
            </w:tcBorders>
          </w:tcPr>
          <w:p>
            <w:r>
              <w:t>ĐÃ HOÀN TẤT BENCHMARK VÀ TÍCH HỢP 5 PHƯƠNG PHÁP</w:t>
            </w:r>
          </w:p>
        </w:tc>
        <w:tc>
          <w:tcPr>
            <w:tcW w:type="dxa" w:w="4917"/>
            <w:shd w:fill="FFF3D6"/>
            <w:tcBorders>
              <w:top w:val="single" w:sz="6" w:color="FFF3D6"/>
              <w:left w:val="single" w:sz="6" w:color="FFF3D6"/>
              <w:bottom w:val="single" w:sz="6" w:color="FFF3D6"/>
              <w:right w:val="single" w:sz="6" w:color="FFF3D6"/>
              <w:insideH w:val="single" w:sz="6" w:color="FFF3D6"/>
              <w:insideV w:val="single" w:sz="6" w:color="FFF3D6"/>
            </w:tcBorders>
          </w:tcPr>
          <w:p>
            <w:r>
              <w:t>BM25 mặc định; 12/12 kiểm thử guardrail đạt. p95 BM25 = 0,664 ms; dense/hybrid/rerank CPU chưa đạt ngưỡng 15 ms.</w:t>
            </w:r>
          </w:p>
        </w:tc>
      </w:tr>
    </w:tbl>
    <w:p>
      <w:pPr>
        <w:pStyle w:val="Heading1"/>
      </w:pPr>
      <w:r>
        <w:t>1. Phạm vi và dữ liệu</w:t>
      </w:r>
    </w:p>
    <w:p>
      <w:r>
        <w:t>Mục tiêu của Module 2 là truy xuất đúng ba điều khoản chính sách liên quan nhất cho mỗi câu hỏi, sau đó so sánh chất lượng và độ trễ giữa các phương pháp trên cùng một tập dữ liệu.</w:t>
      </w:r>
    </w:p>
    <w:p>
      <w:pPr>
        <w:pStyle w:val="ListBullet"/>
        <w:spacing w:after="60"/>
        <w:ind w:left="317" w:hanging="202"/>
      </w:pPr>
      <w:r>
        <w:t>Nguồn: policies.json trong repository E-commerce-Support-Copilot; repository truy cập công khai qua GitHub.</w:t>
      </w:r>
    </w:p>
    <w:p>
      <w:pPr>
        <w:pStyle w:val="ListBullet"/>
        <w:spacing w:after="60"/>
        <w:ind w:left="317" w:hanging="202"/>
      </w:pPr>
      <w:r>
        <w:t>Corpus có 50 chính sách, gồm 47 chính sách đang hoạt động và 3 chính sách không hoạt động. Các chính sách không hoạt động được loại trước khi xếp hạng.</w:t>
      </w:r>
    </w:p>
    <w:p>
      <w:pPr>
        <w:pStyle w:val="ListBullet"/>
        <w:spacing w:after="60"/>
        <w:ind w:left="317" w:hanging="202"/>
      </w:pPr>
      <w:r>
        <w:t>Bộ đánh giá mới có 55 câu hỏi tiếng Việt: 52 câu có nhãn chính sách liên quan và 3 câu ngoài phạm vi. Nhãn phủ đủ 47 chính sách đang hoạt động.</w:t>
      </w:r>
    </w:p>
    <w:p>
      <w:pPr>
        <w:pStyle w:val="ListBullet"/>
        <w:spacing w:after="60"/>
        <w:ind w:left="317" w:hanging="202"/>
      </w:pPr>
      <w:r>
        <w:t>Các phương pháp dùng cùng nội dung title + content; tags không đưa vào mặc định để phép so sánh công bằng. Bộ nhãn hiện được xây dựng thủ công và cần được rà soát nghiệp vụ trước khi dùng làm kết luận sản phẩm.</w:t>
      </w:r>
    </w:p>
    <w:p>
      <w:pPr>
        <w:pStyle w:val="Heading1"/>
      </w:pPr>
      <w:r>
        <w:t>2. Hạng mục đã triển khai</w:t>
      </w:r>
    </w:p>
    <w:p>
      <w:pPr>
        <w:pStyle w:val="ListBullet"/>
        <w:spacing w:after="60"/>
        <w:ind w:left="317" w:hanging="202"/>
      </w:pPr>
      <w:r>
        <w:rPr>
          <w:b/>
        </w:rPr>
        <w:t xml:space="preserve">TF-IDF baseline: </w:t>
      </w:r>
      <w:r>
        <w:t>TfidfVectorizer với n-gram (1, 2) và cosine similarity; cấu hình bám theo indexer.py hiện có.</w:t>
      </w:r>
    </w:p>
    <w:p>
      <w:pPr>
        <w:pStyle w:val="ListBullet"/>
        <w:spacing w:after="60"/>
        <w:ind w:left="317" w:hanging="202"/>
      </w:pPr>
      <w:r>
        <w:rPr>
          <w:b/>
        </w:rPr>
        <w:t xml:space="preserve">BM25: </w:t>
      </w:r>
      <w:r>
        <w:t>BM25Okapi qua rank_bm25; phù hợp truy vấn có từ khóa chính xác như mã đơn hoặc số ngày.</w:t>
      </w:r>
    </w:p>
    <w:p>
      <w:pPr>
        <w:pStyle w:val="ListBullet"/>
        <w:spacing w:after="60"/>
        <w:ind w:left="317" w:hanging="202"/>
      </w:pPr>
      <w:r>
        <w:rPr>
          <w:b/>
        </w:rPr>
        <w:t xml:space="preserve">Dense search: </w:t>
      </w:r>
      <w:r>
        <w:t>SentenceTransformer với keepitreal/vietnamese-sbert mặc định; hỗ trợ đổi sang BAAI/bge-m3. Dùng FAISS IndexFlatIP nếu cài được, nếu không dùng phép tìm cosine chính xác bằng NumPy cho corpus nhỏ.</w:t>
      </w:r>
    </w:p>
    <w:p>
      <w:pPr>
        <w:pStyle w:val="ListBullet"/>
        <w:spacing w:after="60"/>
        <w:ind w:left="317" w:hanging="202"/>
      </w:pPr>
      <w:r>
        <w:rPr>
          <w:b/>
        </w:rPr>
        <w:t xml:space="preserve">Hybrid RRF: </w:t>
      </w:r>
      <w:r>
        <w:t>Hợp nhất thứ hạng BM25 và dense bằng Reciprocal Rank Fusion; hằng số RRF là 60, tối đa 10 ứng viên trước khi lấy top 3.</w:t>
      </w:r>
    </w:p>
    <w:p>
      <w:pPr>
        <w:pStyle w:val="ListBullet"/>
        <w:spacing w:after="60"/>
        <w:ind w:left="317" w:hanging="202"/>
      </w:pPr>
      <w:r>
        <w:t>Reranking: Cross-Encoder BAAI/bge-reranker-base xếp hạng lại tối đa 10 ứng viên hybrid và trả top 3. Trong dịch vụ, chọn phương pháp bằng RETRIEVAL_METHOD=tfidf|bm25|dense|hybrid|reranked; /health trả về phương pháp đang dùng.</w:t>
      </w:r>
    </w:p>
    <w:p>
      <w:pPr>
        <w:pStyle w:val="Heading1"/>
      </w:pPr>
      <w:r>
        <w:t>3. Kết quả benchmark đã chạy</w:t>
      </w:r>
    </w:p>
    <w:p>
      <w:r>
        <w:t>Đánh giá xếp hạng dùng 52 câu có nhãn; Hit Rate@3, Recall@3 và MRR@3 được tính trên top 3. Độ trễ p95 đo trên 55 câu, có tính thời gian xử lý truy vấn sau warm-up; thời gian dựng index được báo riêng.</w:t>
      </w:r>
    </w:p>
    <w:tbl>
      <w:tblPr>
        <w:tblW w:type="auto" w:w="0"/>
        <w:jc w:val="center"/>
        <w:tblLayout w:type="fixed"/>
        <w:tblLook w:firstColumn="1" w:firstRow="1" w:lastColumn="0" w:lastRow="0" w:noHBand="0" w:noVBand="1" w:val="04A0"/>
      </w:tblPr>
      <w:tblGrid>
        <w:gridCol w:w="1843"/>
        <w:gridCol w:w="1181"/>
        <w:gridCol w:w="1181"/>
        <w:gridCol w:w="1123"/>
        <w:gridCol w:w="1296"/>
        <w:gridCol w:w="1656"/>
      </w:tblGrid>
      <w:tr>
        <w:trPr>
          <w:tblHeader w:val="true"/>
          <w:cantSplit/>
        </w:trPr>
        <w:tc>
          <w:tcPr>
            <w:tcW w:type="dxa" w:w="1639"/>
            <w:shd w:fill="17365D"/>
            <w:vAlign w:val="center"/>
            <w:tcBorders>
              <w:top w:val="single" w:sz="6" w:color="D5DEE8"/>
              <w:left w:val="single" w:sz="6" w:color="D5DEE8"/>
              <w:bottom w:val="single" w:sz="6" w:color="D5DEE8"/>
              <w:right w:val="single" w:sz="6" w:color="D5DEE8"/>
              <w:insideH w:val="single" w:sz="6" w:color="D5DEE8"/>
              <w:insideV w:val="single" w:sz="6" w:color="D5DEE8"/>
            </w:tcBorders>
          </w:tcPr>
          <w:p>
            <w:pPr>
              <w:spacing w:after="0" w:before="0" w:line="240" w:lineRule="auto"/>
              <w:jc w:val="center"/>
            </w:pPr>
            <w:r/>
            <w:r>
              <w:rPr>
                <w:rFonts w:ascii="Arial" w:hAnsi="Arial"/>
                <w:b/>
                <w:color w:val="FFFFFF"/>
                <w:sz w:val="15"/>
              </w:rPr>
              <w:t>Phương pháp</w:t>
            </w:r>
          </w:p>
        </w:tc>
        <w:tc>
          <w:tcPr>
            <w:tcW w:type="dxa" w:w="1639"/>
            <w:shd w:fill="17365D"/>
            <w:vAlign w:val="center"/>
            <w:tcBorders>
              <w:top w:val="single" w:sz="6" w:color="D5DEE8"/>
              <w:left w:val="single" w:sz="6" w:color="D5DEE8"/>
              <w:bottom w:val="single" w:sz="6" w:color="D5DEE8"/>
              <w:right w:val="single" w:sz="6" w:color="D5DEE8"/>
              <w:insideH w:val="single" w:sz="6" w:color="D5DEE8"/>
              <w:insideV w:val="single" w:sz="6" w:color="D5DEE8"/>
            </w:tcBorders>
          </w:tcPr>
          <w:p>
            <w:pPr>
              <w:spacing w:after="0" w:before="0" w:line="240" w:lineRule="auto"/>
              <w:jc w:val="center"/>
            </w:pPr>
            <w:r/>
            <w:r>
              <w:rPr>
                <w:rFonts w:ascii="Arial" w:hAnsi="Arial"/>
                <w:b/>
                <w:color w:val="FFFFFF"/>
                <w:sz w:val="15"/>
              </w:rPr>
              <w:t>Hit@3</w:t>
            </w:r>
          </w:p>
        </w:tc>
        <w:tc>
          <w:tcPr>
            <w:tcW w:type="dxa" w:w="1639"/>
            <w:shd w:fill="17365D"/>
            <w:vAlign w:val="center"/>
            <w:tcBorders>
              <w:top w:val="single" w:sz="6" w:color="D5DEE8"/>
              <w:left w:val="single" w:sz="6" w:color="D5DEE8"/>
              <w:bottom w:val="single" w:sz="6" w:color="D5DEE8"/>
              <w:right w:val="single" w:sz="6" w:color="D5DEE8"/>
              <w:insideH w:val="single" w:sz="6" w:color="D5DEE8"/>
              <w:insideV w:val="single" w:sz="6" w:color="D5DEE8"/>
            </w:tcBorders>
          </w:tcPr>
          <w:p>
            <w:pPr>
              <w:spacing w:after="0" w:before="0" w:line="240" w:lineRule="auto"/>
              <w:jc w:val="center"/>
            </w:pPr>
            <w:r/>
            <w:r>
              <w:rPr>
                <w:rFonts w:ascii="Arial" w:hAnsi="Arial"/>
                <w:b/>
                <w:color w:val="FFFFFF"/>
                <w:sz w:val="15"/>
              </w:rPr>
              <w:t>Recall@3</w:t>
            </w:r>
          </w:p>
        </w:tc>
        <w:tc>
          <w:tcPr>
            <w:tcW w:type="dxa" w:w="1639"/>
            <w:shd w:fill="17365D"/>
            <w:vAlign w:val="center"/>
            <w:tcBorders>
              <w:top w:val="single" w:sz="6" w:color="D5DEE8"/>
              <w:left w:val="single" w:sz="6" w:color="D5DEE8"/>
              <w:bottom w:val="single" w:sz="6" w:color="D5DEE8"/>
              <w:right w:val="single" w:sz="6" w:color="D5DEE8"/>
              <w:insideH w:val="single" w:sz="6" w:color="D5DEE8"/>
              <w:insideV w:val="single" w:sz="6" w:color="D5DEE8"/>
            </w:tcBorders>
          </w:tcPr>
          <w:p>
            <w:pPr>
              <w:spacing w:after="0" w:before="0" w:line="240" w:lineRule="auto"/>
              <w:jc w:val="center"/>
            </w:pPr>
            <w:r/>
            <w:r>
              <w:rPr>
                <w:rFonts w:ascii="Arial" w:hAnsi="Arial"/>
                <w:b/>
                <w:color w:val="FFFFFF"/>
                <w:sz w:val="15"/>
              </w:rPr>
              <w:t>MRR@3</w:t>
            </w:r>
          </w:p>
        </w:tc>
        <w:tc>
          <w:tcPr>
            <w:tcW w:type="dxa" w:w="1639"/>
            <w:shd w:fill="17365D"/>
            <w:vAlign w:val="center"/>
            <w:tcBorders>
              <w:top w:val="single" w:sz="6" w:color="D5DEE8"/>
              <w:left w:val="single" w:sz="6" w:color="D5DEE8"/>
              <w:bottom w:val="single" w:sz="6" w:color="D5DEE8"/>
              <w:right w:val="single" w:sz="6" w:color="D5DEE8"/>
              <w:insideH w:val="single" w:sz="6" w:color="D5DEE8"/>
              <w:insideV w:val="single" w:sz="6" w:color="D5DEE8"/>
            </w:tcBorders>
          </w:tcPr>
          <w:p>
            <w:pPr>
              <w:spacing w:after="0" w:before="0" w:line="240" w:lineRule="auto"/>
              <w:jc w:val="center"/>
            </w:pPr>
            <w:r/>
            <w:r>
              <w:rPr>
                <w:rFonts w:ascii="Arial" w:hAnsi="Arial"/>
                <w:b/>
                <w:color w:val="FFFFFF"/>
                <w:sz w:val="15"/>
              </w:rPr>
              <w:t>p95 (ms)</w:t>
            </w:r>
          </w:p>
        </w:tc>
        <w:tc>
          <w:tcPr>
            <w:tcW w:type="dxa" w:w="1639"/>
            <w:shd w:fill="17365D"/>
            <w:vAlign w:val="center"/>
            <w:tcBorders>
              <w:top w:val="single" w:sz="6" w:color="D5DEE8"/>
              <w:left w:val="single" w:sz="6" w:color="D5DEE8"/>
              <w:bottom w:val="single" w:sz="6" w:color="D5DEE8"/>
              <w:right w:val="single" w:sz="6" w:color="D5DEE8"/>
              <w:insideH w:val="single" w:sz="6" w:color="D5DEE8"/>
              <w:insideV w:val="single" w:sz="6" w:color="D5DEE8"/>
            </w:tcBorders>
          </w:tcPr>
          <w:p>
            <w:pPr>
              <w:spacing w:after="0" w:before="0" w:line="240" w:lineRule="auto"/>
              <w:jc w:val="center"/>
            </w:pPr>
            <w:r/>
            <w:r>
              <w:rPr>
                <w:rFonts w:ascii="Arial" w:hAnsi="Arial"/>
                <w:b/>
                <w:color w:val="FFFFFF"/>
                <w:sz w:val="15"/>
              </w:rPr>
              <w:t>Khởi tạo index/model</w:t>
            </w:r>
          </w:p>
        </w:tc>
      </w:tr>
      <w:tr>
        <w:tc>
          <w:tcPr>
            <w:tcW w:type="dxa" w:w="1843"/>
            <w:vAlign w:val="center"/>
            <w:shd w:fill="F4F7FA"/>
            <w:tcBorders>
              <w:top w:val="single" w:sz="6" w:color="D5DEE8"/>
              <w:left w:val="single" w:sz="6" w:color="D5DEE8"/>
              <w:bottom w:val="single" w:sz="6" w:color="D5DEE8"/>
              <w:right w:val="single" w:sz="6" w:color="D5DEE8"/>
            </w:tcBorders>
          </w:tcPr>
          <w:p>
            <w:pPr>
              <w:spacing w:after="0" w:before="0" w:line="240" w:lineRule="auto"/>
              <w:jc w:val="left"/>
            </w:pPr>
            <w:r/>
            <w:r>
              <w:rPr>
                <w:rFonts w:ascii="Arial" w:hAnsi="Arial"/>
                <w:b/>
                <w:color w:val="243244"/>
                <w:sz w:val="16"/>
              </w:rPr>
              <w:t>TF-IDF</w:t>
            </w:r>
          </w:p>
        </w:tc>
        <w:tc>
          <w:tcPr>
            <w:tcW w:type="dxa" w:w="1181"/>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1.0000</w:t>
            </w:r>
          </w:p>
        </w:tc>
        <w:tc>
          <w:tcPr>
            <w:tcW w:type="dxa" w:w="1181"/>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0.9904</w:t>
            </w:r>
          </w:p>
        </w:tc>
        <w:tc>
          <w:tcPr>
            <w:tcW w:type="dxa" w:w="1123"/>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0.9808</w:t>
            </w:r>
          </w:p>
        </w:tc>
        <w:tc>
          <w:tcPr>
            <w:tcW w:type="dxa" w:w="1296"/>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2.389</w:t>
            </w:r>
          </w:p>
        </w:tc>
        <w:tc>
          <w:tcPr>
            <w:tcW w:type="dxa" w:w="1656"/>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7.967 ms</w:t>
            </w:r>
          </w:p>
        </w:tc>
      </w:tr>
      <w:tr>
        <w:tc>
          <w:tcPr>
            <w:tcW w:type="dxa" w:w="1843"/>
            <w:vAlign w:val="center"/>
            <w:shd w:fill="F4F7FA"/>
            <w:tcBorders>
              <w:top w:val="single" w:sz="6" w:color="D5DEE8"/>
              <w:left w:val="single" w:sz="6" w:color="D5DEE8"/>
              <w:bottom w:val="single" w:sz="6" w:color="D5DEE8"/>
              <w:right w:val="single" w:sz="6" w:color="D5DEE8"/>
            </w:tcBorders>
          </w:tcPr>
          <w:p>
            <w:pPr>
              <w:spacing w:after="0" w:before="0" w:line="240" w:lineRule="auto"/>
              <w:jc w:val="left"/>
            </w:pPr>
            <w:r/>
            <w:r>
              <w:rPr>
                <w:rFonts w:ascii="Arial" w:hAnsi="Arial"/>
                <w:b/>
                <w:color w:val="243244"/>
                <w:sz w:val="16"/>
              </w:rPr>
              <w:t>BM25</w:t>
            </w:r>
          </w:p>
        </w:tc>
        <w:tc>
          <w:tcPr>
            <w:tcW w:type="dxa" w:w="1181"/>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1.0000</w:t>
            </w:r>
          </w:p>
        </w:tc>
        <w:tc>
          <w:tcPr>
            <w:tcW w:type="dxa" w:w="1181"/>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0.9904</w:t>
            </w:r>
          </w:p>
        </w:tc>
        <w:tc>
          <w:tcPr>
            <w:tcW w:type="dxa" w:w="1123"/>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0.9808</w:t>
            </w:r>
          </w:p>
        </w:tc>
        <w:tc>
          <w:tcPr>
            <w:tcW w:type="dxa" w:w="1296"/>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0.664</w:t>
            </w:r>
          </w:p>
        </w:tc>
        <w:tc>
          <w:tcPr>
            <w:tcW w:type="dxa" w:w="1656"/>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8.034 ms</w:t>
            </w:r>
          </w:p>
        </w:tc>
      </w:tr>
      <w:tr>
        <w:tc>
          <w:tcPr>
            <w:tcW w:type="dxa" w:w="1843"/>
            <w:vAlign w:val="center"/>
            <w:shd w:fill="F4F7FA"/>
            <w:tcBorders>
              <w:top w:val="single" w:sz="6" w:color="D5DEE8"/>
              <w:left w:val="single" w:sz="6" w:color="D5DEE8"/>
              <w:bottom w:val="single" w:sz="6" w:color="D5DEE8"/>
              <w:right w:val="single" w:sz="6" w:color="D5DEE8"/>
            </w:tcBorders>
          </w:tcPr>
          <w:p>
            <w:pPr>
              <w:spacing w:after="0" w:before="0" w:line="240" w:lineRule="auto"/>
              <w:jc w:val="left"/>
            </w:pPr>
            <w:r/>
            <w:r>
              <w:rPr>
                <w:rFonts w:ascii="Arial" w:hAnsi="Arial"/>
                <w:b/>
                <w:color w:val="243244"/>
                <w:sz w:val="16"/>
              </w:rPr>
              <w:t>Dense SBERT</w:t>
            </w:r>
          </w:p>
        </w:tc>
        <w:tc>
          <w:tcPr>
            <w:tcW w:type="dxa" w:w="1181"/>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0.8654</w:t>
            </w:r>
          </w:p>
        </w:tc>
        <w:tc>
          <w:tcPr>
            <w:tcW w:type="dxa" w:w="1181"/>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0.8558</w:t>
            </w:r>
          </w:p>
        </w:tc>
        <w:tc>
          <w:tcPr>
            <w:tcW w:type="dxa" w:w="1123"/>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0.8462</w:t>
            </w:r>
          </w:p>
        </w:tc>
        <w:tc>
          <w:tcPr>
            <w:tcW w:type="dxa" w:w="1296"/>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127.915</w:t>
            </w:r>
          </w:p>
        </w:tc>
        <w:tc>
          <w:tcPr>
            <w:tcW w:type="dxa" w:w="1656"/>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72.83 s</w:t>
            </w:r>
          </w:p>
        </w:tc>
      </w:tr>
      <w:tr>
        <w:tc>
          <w:tcPr>
            <w:tcW w:type="dxa" w:w="1843"/>
            <w:vAlign w:val="center"/>
            <w:shd w:fill="F4F7FA"/>
            <w:tcBorders>
              <w:top w:val="single" w:sz="6" w:color="D5DEE8"/>
              <w:left w:val="single" w:sz="6" w:color="D5DEE8"/>
              <w:bottom w:val="single" w:sz="6" w:color="D5DEE8"/>
              <w:right w:val="single" w:sz="6" w:color="D5DEE8"/>
            </w:tcBorders>
          </w:tcPr>
          <w:p>
            <w:pPr>
              <w:spacing w:after="0" w:before="0" w:line="240" w:lineRule="auto"/>
              <w:jc w:val="left"/>
            </w:pPr>
            <w:r/>
            <w:r>
              <w:rPr>
                <w:rFonts w:ascii="Arial" w:hAnsi="Arial"/>
                <w:b/>
                <w:color w:val="243244"/>
                <w:sz w:val="16"/>
              </w:rPr>
              <w:t>Hybrid RRF</w:t>
            </w:r>
          </w:p>
        </w:tc>
        <w:tc>
          <w:tcPr>
            <w:tcW w:type="dxa" w:w="1181"/>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0.9615</w:t>
            </w:r>
          </w:p>
        </w:tc>
        <w:tc>
          <w:tcPr>
            <w:tcW w:type="dxa" w:w="1181"/>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0.9519</w:t>
            </w:r>
          </w:p>
        </w:tc>
        <w:tc>
          <w:tcPr>
            <w:tcW w:type="dxa" w:w="1123"/>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0.9423</w:t>
            </w:r>
          </w:p>
        </w:tc>
        <w:tc>
          <w:tcPr>
            <w:tcW w:type="dxa" w:w="1296"/>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114.706</w:t>
            </w:r>
          </w:p>
        </w:tc>
        <w:tc>
          <w:tcPr>
            <w:tcW w:type="dxa" w:w="1656"/>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72.84 s</w:t>
            </w:r>
          </w:p>
        </w:tc>
      </w:tr>
      <w:tr>
        <w:tc>
          <w:tcPr>
            <w:tcW w:type="dxa" w:w="1843"/>
            <w:vAlign w:val="center"/>
            <w:shd w:fill="F4F7FA"/>
            <w:tcBorders>
              <w:top w:val="single" w:sz="6" w:color="D5DEE8"/>
              <w:left w:val="single" w:sz="6" w:color="D5DEE8"/>
              <w:bottom w:val="single" w:sz="6" w:color="D5DEE8"/>
              <w:right w:val="single" w:sz="6" w:color="D5DEE8"/>
            </w:tcBorders>
          </w:tcPr>
          <w:p>
            <w:pPr>
              <w:spacing w:after="0" w:before="0" w:line="240" w:lineRule="auto"/>
              <w:jc w:val="left"/>
            </w:pPr>
            <w:r/>
            <w:r>
              <w:rPr>
                <w:rFonts w:ascii="Arial" w:hAnsi="Arial"/>
                <w:b/>
                <w:color w:val="243244"/>
                <w:sz w:val="16"/>
              </w:rPr>
              <w:t>RRF + reranker</w:t>
            </w:r>
          </w:p>
        </w:tc>
        <w:tc>
          <w:tcPr>
            <w:tcW w:type="dxa" w:w="1181"/>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0.9808</w:t>
            </w:r>
          </w:p>
        </w:tc>
        <w:tc>
          <w:tcPr>
            <w:tcW w:type="dxa" w:w="1181"/>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0.9808</w:t>
            </w:r>
          </w:p>
        </w:tc>
        <w:tc>
          <w:tcPr>
            <w:tcW w:type="dxa" w:w="1123"/>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0.9679</w:t>
            </w:r>
          </w:p>
        </w:tc>
        <w:tc>
          <w:tcPr>
            <w:tcW w:type="dxa" w:w="1296"/>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3773.631</w:t>
            </w:r>
          </w:p>
        </w:tc>
        <w:tc>
          <w:tcPr>
            <w:tcW w:type="dxa" w:w="1656"/>
            <w:vAlign w:val="center"/>
            <w:shd w:fill="F4F7FA"/>
            <w:tcBorders>
              <w:top w:val="single" w:sz="6" w:color="D5DEE8"/>
              <w:left w:val="single" w:sz="6" w:color="D5DEE8"/>
              <w:bottom w:val="single" w:sz="6" w:color="D5DEE8"/>
              <w:right w:val="single" w:sz="6" w:color="D5DEE8"/>
            </w:tcBorders>
          </w:tcPr>
          <w:p>
            <w:pPr>
              <w:spacing w:after="0" w:before="0" w:line="240" w:lineRule="auto"/>
              <w:jc w:val="center"/>
            </w:pPr>
            <w:r/>
            <w:r>
              <w:rPr>
                <w:rFonts w:ascii="Arial" w:hAnsi="Arial"/>
                <w:b w:val="0"/>
                <w:color w:val="243244"/>
                <w:sz w:val="16"/>
              </w:rPr>
              <w:t>159.08 s</w:t>
            </w:r>
          </w:p>
        </w:tc>
      </w:tr>
    </w:tbl>
    <w:p>
      <w:pPr>
        <w:spacing w:before="100"/>
      </w:pPr>
      <w:r>
        <w:rPr>
          <w:b/>
          <w:color w:val="17365D"/>
        </w:rPr>
        <w:t xml:space="preserve">Đánh giá: </w:t>
      </w:r>
      <w:r>
        <w:t>TF-IDF và BM25 cùng đạt Hit Rate@3 100%, Recall@3 0,9904 và MRR@3 0,9808; BM25 có p95 thấp hơn. RRF nâng Hit Rate@3 từ 86,54% của dense lên 96,15%; reranker nâng lên 98,08%, nhưng cả hybrid và reranking vẫn thấp hơn sparse trên bộ nhãn hiện tại.</w:t>
      </w:r>
    </w:p>
    <w:p>
      <w:pPr>
        <w:pStyle w:val="Heading1"/>
      </w:pPr>
      <w:r>
        <w:t>4. Tích hợp vào dịch vụ và kiểm tra</w:t>
      </w:r>
    </w:p>
    <w:p>
      <w:pPr>
        <w:pStyle w:val="ListBullet"/>
        <w:spacing w:after="60"/>
        <w:ind w:left="317" w:hanging="202"/>
      </w:pPr>
      <w:r>
        <w:t>Dịch vụ RAG khởi chạy BM25 mặc định. TF-IDF vẫn tương thích để đối chiếu; dense, hybrid và reranked khởi tạo theo cấu hình model/device. BM25 được thêm vào dependencies của dịch vụ; các thư viện model là tùy chọn để tránh tăng kích thước image khi chỉ chạy sparse search.</w:t>
      </w:r>
    </w:p>
    <w:p>
      <w:pPr>
        <w:pStyle w:val="ListBullet"/>
        <w:spacing w:after="60"/>
        <w:ind w:left="317" w:hanging="202"/>
      </w:pPr>
      <w:r>
        <w:t>Docker có cấu hình chọn phương pháp, tên model, thiết bị CPU/GPU và volume lưu model cache. Muốn dùng dense/hybrid/reranked cần build với INSTALL_RAG_MODEL_DEPS=true; model tải ở lần khởi chạy đầu tiên. Lỗi thiếu thư viện hoặc model sẽ báo rõ khi khởi tạo, không âm thầm đổi sang phương pháp khác.</w:t>
      </w:r>
    </w:p>
    <w:p>
      <w:pPr>
        <w:pStyle w:val="ListBullet"/>
        <w:spacing w:after="60"/>
        <w:ind w:left="317" w:hanging="202"/>
      </w:pPr>
      <w:r>
        <w:t>Đã chạy kiểm tra hồi quy hiện có: 12/12 test về truy vấn ngoài phạm vi, độ tin cậy thấp, nghiệp vụ tài chính, chính sách hết hạn và guardrail đều đạt. Smoke check truy vấn cho cả năm phương pháp thành công; tìm kiếm thường không trả chính sách hết hiệu lực. Chưa build/chạy Docker vì môi trường hiện không có Docker CLI.</w:t>
      </w:r>
    </w:p>
    <w:p>
      <w:pPr>
        <w:pStyle w:val="ListBullet"/>
        <w:spacing w:after="60"/>
        <w:ind w:left="317" w:hanging="202"/>
      </w:pPr>
      <w:r>
        <w:t>Giới hạn vận hành: trên CPU, BM25 p95 0,664 ms đạt ngưỡng &lt;15 ms; dense 127,915 ms, hybrid 114,706 ms và reranking 3.773,631 ms chưa đạt. Vì vậy dịch vụ đặt BM25 làm mặc định. Không áp dụng một ngưỡng điểm chung vì điểm BM25, cosine và RRF không cùng thang đo.</w:t>
      </w:r>
    </w:p>
    <w:p>
      <w:pPr>
        <w:pStyle w:val="Heading1"/>
      </w:pPr>
      <w:r>
        <w:t>5. Việc còn lại / đề xuất</w:t>
      </w:r>
    </w:p>
    <w:p>
      <w:pPr>
        <w:pStyle w:val="ListBullet"/>
        <w:spacing w:after="60"/>
        <w:ind w:left="317" w:hanging="202"/>
      </w:pPr>
      <w:r>
        <w:t>Rà soát các nhãn truy vấn và chính sách với người phụ trách nghiệp vụ; bộ dữ liệu hiện được gán nhãn thủ công. Trước khi triển khai cho khách hàng thật, đo latency end-to-end trong môi trường mục tiêu và kiểm tra luồng gateway/UI.</w:t>
      </w:r>
    </w:p>
    <w:p>
      <w:pPr>
        <w:pStyle w:val="ListBullet"/>
        <w:spacing w:after="60"/>
        <w:ind w:left="317" w:hanging="202"/>
      </w:pPr>
      <w:r>
        <w:t>Nếu cần dense/hybrid/reranking trong sản phẩm, thử model nhẹ hoặc accelerator, giữ sẵn embedding, giảm số ứng viên cross-encoder rồi benchmark lại p95 theo cùng tập truy vấn.</w:t>
      </w:r>
    </w:p>
    <w:p>
      <w:pPr>
        <w:pStyle w:val="ListBullet"/>
        <w:spacing w:after="60"/>
        <w:ind w:left="317" w:hanging="202"/>
      </w:pPr>
      <w:r>
        <w:t>Mở rộng truy vấn thực tế và tập đánh giá giữ lại để giảm nguy cơ tối ưu theo 55 câu hiện có. Theo dõi riêng chất lượng cho câu nhiều chính sách đúng và các câu không có chính sách phù hợp.</w:t>
      </w:r>
    </w:p>
    <w:p>
      <w:pPr>
        <w:pStyle w:val="ListBullet"/>
        <w:spacing w:after="60"/>
        <w:ind w:left="317" w:hanging="202"/>
      </w:pPr>
      <w:r>
        <w:t>Quyết định triển khai model nặng sau khi mục tiêu latency và tài nguyên hạ tầng được xác nhận; chế độ lựa chọn hiện có thể bật qua biến môi trường mà không đổi hợp đồng API.</w:t>
      </w:r>
    </w:p>
    <w:p>
      <w:pPr>
        <w:pStyle w:val="Heading1"/>
      </w:pPr>
      <w:r>
        <w:t>6. Tệp bàn giao và cách chạy</w:t>
      </w:r>
    </w:p>
    <w:tbl>
      <w:tblPr>
        <w:tblW w:type="auto" w:w="0"/>
        <w:jc w:val="center"/>
        <w:tblLayout w:type="fixed"/>
        <w:tblLook w:firstColumn="1" w:firstRow="1" w:lastColumn="0" w:lastRow="0" w:noHBand="0" w:noVBand="1" w:val="04A0"/>
      </w:tblPr>
      <w:tblGrid>
        <w:gridCol w:w="3816"/>
        <w:gridCol w:w="5904"/>
      </w:tblGrid>
      <w:tr>
        <w:trPr>
          <w:tblHeader w:val="true"/>
          <w:cantSplit/>
        </w:trPr>
        <w:tc>
          <w:tcPr>
            <w:tcW w:type="dxa" w:w="4917"/>
            <w:shd w:fill="17365D"/>
            <w:vAlign w:val="center"/>
            <w:tcBorders>
              <w:top w:val="single" w:sz="6" w:color="D5DEE8"/>
              <w:left w:val="single" w:sz="6" w:color="D5DEE8"/>
              <w:bottom w:val="single" w:sz="6" w:color="D5DEE8"/>
              <w:right w:val="single" w:sz="6" w:color="D5DEE8"/>
              <w:insideH w:val="single" w:sz="6" w:color="D5DEE8"/>
              <w:insideV w:val="single" w:sz="6" w:color="D5DEE8"/>
            </w:tcBorders>
          </w:tcPr>
          <w:p>
            <w:pPr>
              <w:spacing w:after="0" w:before="0" w:line="240" w:lineRule="auto"/>
              <w:jc w:val="left"/>
            </w:pPr>
            <w:r/>
            <w:r>
              <w:rPr>
                <w:rFonts w:ascii="Arial" w:hAnsi="Arial"/>
                <w:b/>
                <w:color w:val="FFFFFF"/>
                <w:sz w:val="17"/>
              </w:rPr>
              <w:t>Tệp</w:t>
            </w:r>
          </w:p>
        </w:tc>
        <w:tc>
          <w:tcPr>
            <w:tcW w:type="dxa" w:w="4917"/>
            <w:shd w:fill="17365D"/>
            <w:vAlign w:val="center"/>
            <w:tcBorders>
              <w:top w:val="single" w:sz="6" w:color="D5DEE8"/>
              <w:left w:val="single" w:sz="6" w:color="D5DEE8"/>
              <w:bottom w:val="single" w:sz="6" w:color="D5DEE8"/>
              <w:right w:val="single" w:sz="6" w:color="D5DEE8"/>
              <w:insideH w:val="single" w:sz="6" w:color="D5DEE8"/>
              <w:insideV w:val="single" w:sz="6" w:color="D5DEE8"/>
            </w:tcBorders>
          </w:tcPr>
          <w:p>
            <w:pPr>
              <w:spacing w:after="0" w:before="0" w:line="240" w:lineRule="auto"/>
              <w:jc w:val="left"/>
            </w:pPr>
            <w:r/>
            <w:r>
              <w:rPr>
                <w:rFonts w:ascii="Arial" w:hAnsi="Arial"/>
                <w:b/>
                <w:color w:val="FFFFFF"/>
                <w:sz w:val="17"/>
              </w:rPr>
              <w:t>Nội dung</w:t>
            </w:r>
          </w:p>
        </w:tc>
      </w:tr>
      <w:tr>
        <w:trPr>
          <w:cantSplit/>
        </w:trPr>
        <w:tc>
          <w:tcPr>
            <w:tcW w:type="dxa" w:w="3816"/>
            <w:vAlign w:val="center"/>
            <w:tcBorders>
              <w:top w:val="single" w:sz="6" w:color="D5DEE8"/>
              <w:left w:val="single" w:sz="6" w:color="D5DEE8"/>
              <w:bottom w:val="single" w:sz="6" w:color="D5DEE8"/>
              <w:right w:val="single" w:sz="6" w:color="D5DEE8"/>
              <w:insideH w:val="single" w:sz="6" w:color="D5DEE8"/>
              <w:insideV w:val="single" w:sz="6" w:color="D5DEE8"/>
            </w:tcBorders>
          </w:tcPr>
          <w:p>
            <w:pPr>
              <w:spacing w:after="0" w:before="0" w:line="240" w:lineRule="auto"/>
              <w:jc w:val="left"/>
            </w:pPr>
            <w:r/>
            <w:r>
              <w:rPr>
                <w:rFonts w:ascii="Arial" w:hAnsi="Arial"/>
                <w:b/>
                <w:color w:val="243244"/>
                <w:sz w:val="16"/>
              </w:rPr>
              <w:t>services/rag_service/src/search_experiments.py</w:t>
            </w:r>
          </w:p>
        </w:tc>
        <w:tc>
          <w:tcPr>
            <w:tcW w:type="dxa" w:w="5904"/>
            <w:vAlign w:val="center"/>
            <w:tcBorders>
              <w:top w:val="single" w:sz="6" w:color="D5DEE8"/>
              <w:left w:val="single" w:sz="6" w:color="D5DEE8"/>
              <w:bottom w:val="single" w:sz="6" w:color="D5DEE8"/>
              <w:right w:val="single" w:sz="6" w:color="D5DEE8"/>
              <w:insideH w:val="single" w:sz="6" w:color="D5DEE8"/>
              <w:insideV w:val="single" w:sz="6" w:color="D5DEE8"/>
            </w:tcBorders>
          </w:tcPr>
          <w:p>
            <w:pPr>
              <w:spacing w:after="0" w:before="0" w:line="240" w:lineRule="auto"/>
              <w:jc w:val="left"/>
            </w:pPr>
            <w:r/>
            <w:r>
              <w:rPr>
                <w:rFonts w:ascii="Arial" w:hAnsi="Arial"/>
                <w:b w:val="0"/>
                <w:color w:val="243244"/>
                <w:sz w:val="16"/>
              </w:rPr>
              <w:t>Các searcher TF-IDF, BM25, dense, RRF và reranker.</w:t>
            </w:r>
          </w:p>
        </w:tc>
      </w:tr>
      <w:tr>
        <w:trPr>
          <w:cantSplit/>
        </w:trPr>
        <w:tc>
          <w:tcPr>
            <w:tcW w:type="dxa" w:w="3816"/>
            <w:shd w:fill="F4F7FA"/>
            <w:vAlign w:val="center"/>
            <w:tcBorders>
              <w:top w:val="single" w:sz="6" w:color="D5DEE8"/>
              <w:left w:val="single" w:sz="6" w:color="D5DEE8"/>
              <w:bottom w:val="single" w:sz="6" w:color="D5DEE8"/>
              <w:right w:val="single" w:sz="6" w:color="D5DEE8"/>
              <w:insideH w:val="single" w:sz="6" w:color="D5DEE8"/>
              <w:insideV w:val="single" w:sz="6" w:color="D5DEE8"/>
            </w:tcBorders>
          </w:tcPr>
          <w:p>
            <w:pPr>
              <w:spacing w:after="0" w:before="0" w:line="240" w:lineRule="auto"/>
              <w:jc w:val="left"/>
            </w:pPr>
            <w:r/>
            <w:r>
              <w:rPr>
                <w:rFonts w:ascii="Arial" w:hAnsi="Arial"/>
                <w:b/>
                <w:color w:val="243244"/>
                <w:sz w:val="16"/>
              </w:rPr>
              <w:t>scripts/benchmark_retrieval.py</w:t>
            </w:r>
          </w:p>
        </w:tc>
        <w:tc>
          <w:tcPr>
            <w:tcW w:type="dxa" w:w="5904"/>
            <w:shd w:fill="F4F7FA"/>
            <w:vAlign w:val="center"/>
            <w:tcBorders>
              <w:top w:val="single" w:sz="6" w:color="D5DEE8"/>
              <w:left w:val="single" w:sz="6" w:color="D5DEE8"/>
              <w:bottom w:val="single" w:sz="6" w:color="D5DEE8"/>
              <w:right w:val="single" w:sz="6" w:color="D5DEE8"/>
              <w:insideH w:val="single" w:sz="6" w:color="D5DEE8"/>
              <w:insideV w:val="single" w:sz="6" w:color="D5DEE8"/>
            </w:tcBorders>
          </w:tcPr>
          <w:p>
            <w:pPr>
              <w:spacing w:after="0" w:before="0" w:line="240" w:lineRule="auto"/>
              <w:jc w:val="left"/>
            </w:pPr>
            <w:r/>
            <w:r>
              <w:rPr>
                <w:rFonts w:ascii="Arial" w:hAnsi="Arial"/>
                <w:b w:val="0"/>
                <w:color w:val="243244"/>
                <w:sz w:val="16"/>
              </w:rPr>
              <w:t>Chạy benchmark và xuất chỉ số ra JSON.</w:t>
            </w:r>
          </w:p>
        </w:tc>
      </w:tr>
      <w:tr>
        <w:trPr>
          <w:cantSplit/>
        </w:trPr>
        <w:tc>
          <w:tcPr>
            <w:tcW w:type="dxa" w:w="3816"/>
            <w:vAlign w:val="center"/>
            <w:tcBorders>
              <w:top w:val="single" w:sz="6" w:color="D5DEE8"/>
              <w:left w:val="single" w:sz="6" w:color="D5DEE8"/>
              <w:bottom w:val="single" w:sz="6" w:color="D5DEE8"/>
              <w:right w:val="single" w:sz="6" w:color="D5DEE8"/>
              <w:insideH w:val="single" w:sz="6" w:color="D5DEE8"/>
              <w:insideV w:val="single" w:sz="6" w:color="D5DEE8"/>
            </w:tcBorders>
          </w:tcPr>
          <w:p>
            <w:pPr>
              <w:spacing w:after="0" w:before="0" w:line="240" w:lineRule="auto"/>
              <w:jc w:val="left"/>
            </w:pPr>
            <w:r/>
            <w:r>
              <w:rPr>
                <w:rFonts w:ascii="Arial" w:hAnsi="Arial"/>
                <w:b/>
                <w:color w:val="243244"/>
                <w:sz w:val="16"/>
              </w:rPr>
              <w:t>data/retrieval_eval.json</w:t>
            </w:r>
          </w:p>
        </w:tc>
        <w:tc>
          <w:tcPr>
            <w:tcW w:type="dxa" w:w="5904"/>
            <w:vAlign w:val="center"/>
            <w:tcBorders>
              <w:top w:val="single" w:sz="6" w:color="D5DEE8"/>
              <w:left w:val="single" w:sz="6" w:color="D5DEE8"/>
              <w:bottom w:val="single" w:sz="6" w:color="D5DEE8"/>
              <w:right w:val="single" w:sz="6" w:color="D5DEE8"/>
              <w:insideH w:val="single" w:sz="6" w:color="D5DEE8"/>
              <w:insideV w:val="single" w:sz="6" w:color="D5DEE8"/>
            </w:tcBorders>
          </w:tcPr>
          <w:p>
            <w:pPr>
              <w:spacing w:after="0" w:before="0" w:line="240" w:lineRule="auto"/>
              <w:jc w:val="left"/>
            </w:pPr>
            <w:r/>
            <w:r>
              <w:rPr>
                <w:rFonts w:ascii="Arial" w:hAnsi="Arial"/>
                <w:b w:val="0"/>
                <w:color w:val="243244"/>
                <w:sz w:val="16"/>
              </w:rPr>
              <w:t>55 truy vấn đánh giá và nhãn chính sách.</w:t>
            </w:r>
          </w:p>
        </w:tc>
      </w:tr>
      <w:tr>
        <w:trPr>
          <w:cantSplit/>
        </w:trPr>
        <w:tc>
          <w:tcPr>
            <w:tcW w:type="dxa" w:w="3816"/>
            <w:shd w:fill="F4F7FA"/>
            <w:vAlign w:val="center"/>
            <w:tcBorders>
              <w:top w:val="single" w:sz="6" w:color="D5DEE8"/>
              <w:left w:val="single" w:sz="6" w:color="D5DEE8"/>
              <w:bottom w:val="single" w:sz="6" w:color="D5DEE8"/>
              <w:right w:val="single" w:sz="6" w:color="D5DEE8"/>
              <w:insideH w:val="single" w:sz="6" w:color="D5DEE8"/>
              <w:insideV w:val="single" w:sz="6" w:color="D5DEE8"/>
            </w:tcBorders>
          </w:tcPr>
          <w:p>
            <w:pPr>
              <w:spacing w:after="0" w:before="0" w:line="240" w:lineRule="auto"/>
              <w:jc w:val="left"/>
            </w:pPr>
            <w:r/>
            <w:r>
              <w:rPr>
                <w:rFonts w:ascii="Arial" w:hAnsi="Arial"/>
                <w:b/>
                <w:color w:val="243244"/>
                <w:sz w:val="16"/>
              </w:rPr>
              <w:t>reports/module2_retrieval_benchmark.json</w:t>
            </w:r>
          </w:p>
        </w:tc>
        <w:tc>
          <w:tcPr>
            <w:tcW w:type="dxa" w:w="5904"/>
            <w:shd w:fill="F4F7FA"/>
            <w:vAlign w:val="center"/>
            <w:tcBorders>
              <w:top w:val="single" w:sz="6" w:color="D5DEE8"/>
              <w:left w:val="single" w:sz="6" w:color="D5DEE8"/>
              <w:bottom w:val="single" w:sz="6" w:color="D5DEE8"/>
              <w:right w:val="single" w:sz="6" w:color="D5DEE8"/>
              <w:insideH w:val="single" w:sz="6" w:color="D5DEE8"/>
              <w:insideV w:val="single" w:sz="6" w:color="D5DEE8"/>
            </w:tcBorders>
          </w:tcPr>
          <w:p>
            <w:pPr>
              <w:spacing w:after="0" w:before="0" w:line="240" w:lineRule="auto"/>
              <w:jc w:val="left"/>
            </w:pPr>
            <w:r/>
            <w:r>
              <w:rPr>
                <w:rFonts w:ascii="Arial" w:hAnsi="Arial"/>
                <w:b w:val="0"/>
                <w:color w:val="243244"/>
                <w:sz w:val="16"/>
              </w:rPr>
              <w:t>Kết quả đầy đủ của năm phương pháp trên bộ đánh giá.</w:t>
            </w:r>
          </w:p>
        </w:tc>
      </w:tr>
      <w:tr>
        <w:trPr>
          <w:cantSplit/>
        </w:trPr>
        <w:tc>
          <w:tcPr>
            <w:tcW w:type="dxa" w:w="3816"/>
            <w:vAlign w:val="center"/>
            <w:tcBorders>
              <w:top w:val="single" w:sz="6" w:color="D5DEE8"/>
              <w:left w:val="single" w:sz="6" w:color="D5DEE8"/>
              <w:bottom w:val="single" w:sz="6" w:color="D5DEE8"/>
              <w:right w:val="single" w:sz="6" w:color="D5DEE8"/>
              <w:insideH w:val="single" w:sz="6" w:color="D5DEE8"/>
              <w:insideV w:val="single" w:sz="6" w:color="D5DEE8"/>
            </w:tcBorders>
          </w:tcPr>
          <w:p>
            <w:pPr>
              <w:spacing w:after="0" w:before="0" w:line="240" w:lineRule="auto"/>
              <w:jc w:val="left"/>
            </w:pPr>
            <w:r/>
            <w:r>
              <w:rPr>
                <w:rFonts w:ascii="Arial" w:hAnsi="Arial"/>
                <w:b/>
                <w:color w:val="243244"/>
                <w:sz w:val="16"/>
              </w:rPr>
              <w:t>requirements-retrieval-experiments.txt, README.md</w:t>
            </w:r>
          </w:p>
        </w:tc>
        <w:tc>
          <w:tcPr>
            <w:tcW w:type="dxa" w:w="5904"/>
            <w:vAlign w:val="center"/>
            <w:tcBorders>
              <w:top w:val="single" w:sz="6" w:color="D5DEE8"/>
              <w:left w:val="single" w:sz="6" w:color="D5DEE8"/>
              <w:bottom w:val="single" w:sz="6" w:color="D5DEE8"/>
              <w:right w:val="single" w:sz="6" w:color="D5DEE8"/>
              <w:insideH w:val="single" w:sz="6" w:color="D5DEE8"/>
              <w:insideV w:val="single" w:sz="6" w:color="D5DEE8"/>
            </w:tcBorders>
          </w:tcPr>
          <w:p>
            <w:pPr>
              <w:spacing w:after="0" w:before="0" w:line="240" w:lineRule="auto"/>
              <w:jc w:val="left"/>
            </w:pPr>
            <w:r/>
            <w:r>
              <w:rPr>
                <w:rFonts w:ascii="Arial" w:hAnsi="Arial"/>
                <w:b w:val="0"/>
                <w:color w:val="243244"/>
                <w:sz w:val="16"/>
              </w:rPr>
              <w:t>Dependencies và hướng dẫn chạy.</w:t>
            </w:r>
          </w:p>
        </w:tc>
      </w:tr>
      <w:tr>
        <w:tc>
          <w:tcPr>
            <w:tcW w:type="dxa" w:w="3816"/>
          </w:tcPr>
          <w:p>
            <w:r>
              <w:t>services/rag_service/src/retriever.py, main.py</w:t>
            </w:r>
          </w:p>
        </w:tc>
        <w:tc>
          <w:tcPr>
            <w:tcW w:type="dxa" w:w="5904"/>
          </w:tcPr>
          <w:p>
            <w:r>
              <w:t>Tích hợp backend cấu hình được vào luồng retrieve; giữ nhánh chính sách hết hạn và tương thích TF-IDF.</w:t>
            </w:r>
          </w:p>
        </w:tc>
      </w:tr>
      <w:tr>
        <w:tc>
          <w:tcPr>
            <w:tcW w:type="dxa" w:w="3816"/>
          </w:tcPr>
          <w:p>
            <w:r>
              <w:t>services/rag_service/Dockerfile, docker-compose.yml</w:t>
            </w:r>
          </w:p>
        </w:tc>
        <w:tc>
          <w:tcPr>
            <w:tcW w:type="dxa" w:w="5904"/>
          </w:tcPr>
          <w:p>
            <w:r>
              <w:t>Cấu hình build dependencies model tùy chọn, model cache và biến môi trường lựa chọn retrieval.</w:t>
            </w:r>
          </w:p>
        </w:tc>
      </w:tr>
      <w:tr>
        <w:tc>
          <w:tcPr>
            <w:tcW w:type="dxa" w:w="3816"/>
          </w:tcPr>
          <w:p>
            <w:r>
              <w:t>services/rag_service/requirements.txt</w:t>
            </w:r>
          </w:p>
        </w:tc>
        <w:tc>
          <w:tcPr>
            <w:tcW w:type="dxa" w:w="5904"/>
          </w:tcPr>
          <w:p>
            <w:r>
              <w:t>Cài rank_bm25 cho BM25 mặc định.</w:t>
            </w:r>
          </w:p>
        </w:tc>
      </w:tr>
      <w:tr>
        <w:tc>
          <w:tcPr>
            <w:tcW w:type="dxa" w:w="3816"/>
          </w:tcPr>
          <w:p>
            <w:r>
              <w:t>README.md</w:t>
            </w:r>
          </w:p>
        </w:tc>
        <w:tc>
          <w:tcPr>
            <w:tcW w:type="dxa" w:w="5904"/>
          </w:tcPr>
          <w:p>
            <w:r>
              <w:t>Hướng dẫn benchmark và bật từng phương pháp trong dịch vụ.</w:t>
            </w:r>
          </w:p>
        </w:tc>
      </w:tr>
    </w:tbl>
    <w:p>
      <w:pPr>
        <w:spacing w:before="100"/>
      </w:pPr>
      <w:r>
        <w:t>Cài dependencies sparse: python -m pip install -r services/rag_service/requirements.txt. Chạy benchmark đủ năm phương pháp: python -m pip install -r requirements-retrieval-experiments.txt rồi chạy scripts/benchmark_retrieval.py.</w:t>
      </w:r>
    </w:p>
    <w:p>
      <w:pPr>
        <w:spacing w:after="100"/>
        <w:ind w:left="173"/>
      </w:pPr>
      <w:r>
        <w:t>Chọn chế độ cho dịch vụ: đặt RETRIEVAL_METHOD=bm25 (mặc định), tfidf, dense, hybrid hoặc reranked. Docker cho model mode cần INSTALL_RAG_MODEL_DEPS=true khi build. Có thể cấu hình DENSE_EMBEDDING_MODEL, RERANKER_MODEL, RETRIEVAL_DEVICE; README.md có hướng dẫn đầy đủ.</w:t>
      </w:r>
    </w:p>
    <w:p>
      <w:pPr>
        <w:spacing w:before="80"/>
      </w:pPr>
      <w:r>
        <w:rPr>
          <w:b/>
        </w:rPr>
        <w:t xml:space="preserve">Nguồn dữ liệu: </w:t>
      </w:r>
      <w:r>
        <w:t>https://github.com/DunnTapCodee/E-commerce-Support-Copilot/blob/main/data/knowledge_base/policies.json</w:t>
      </w:r>
    </w:p>
    <w:sectPr w:rsidR="00FC693F" w:rsidRPr="0006063C" w:rsidSect="00034616">
      <w:headerReference w:type="default" r:id="rId9"/>
      <w:footerReference w:type="default" r:id="rId10"/>
      <w:pgSz w:w="11909" w:h="16834"/>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5D6B7A"/>
        <w:sz w:val="16"/>
      </w:rPr>
      <w:t xml:space="preserve">Cập nhật ngày 22/10/2026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5D6B7A"/>
        <w:sz w:val="16"/>
      </w:rPr>
      <w:t>BÁO CÁO TIẾN ĐỘ  |  MODULE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F6B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Module 2 RAG và tìm kiếm chính sách</dc:title>
  <dc:subject>Tiến độ triển khai, benchmark và việc tiếp theo</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