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6E78"/>
          <w:sz w:val="20"/>
        </w:rPr>
        <w:t>BÁO CÁO TIẾN ĐỘ VÀ KẾT QUẢ THỰC NGHIỆM</w:t>
      </w:r>
    </w:p>
    <w:p>
      <w:r>
        <w:rPr>
          <w:b/>
          <w:color w:val="1F4E79"/>
          <w:sz w:val="44"/>
        </w:rPr>
        <w:t>Module 3: Tích hợp Dữ liệu Động &amp; Tool Calling</w:t>
      </w:r>
    </w:p>
    <w:p>
      <w:r>
        <w:rPr>
          <w:i/>
          <w:color w:val="505050"/>
          <w:sz w:val="22"/>
        </w:rPr>
        <w:t>Báo cáo phạm vi tích hợp CSDL SQLite, lập chỉ mục B-Tree, Caching Layer LRU, chuẩn hóa Function Tools, ReAct Agent và kết quả đối sánh Benchmark</w:t>
      </w:r>
    </w:p>
    <w:p>
      <w:pPr>
        <w:spacing w:after="240"/>
      </w:pPr>
      <w:r>
        <w:rPr>
          <w:b/>
          <w:color w:val="1F4E79"/>
        </w:rPr>
        <w:t xml:space="preserve">Kết luận tiến độ Module 3: </w:t>
      </w:r>
      <w:r>
        <w:rPr>
          <w:sz w:val="20"/>
        </w:rPr>
        <w:t>Đã hoàn tất 100% mục tiêu đề ra. Di chuyển 100 đơn hàng Tiki vào SQLite với chỉ mục B-Tree, bổ sung bộ nhớ đệm OrderLRUCache đạt độ trễ p95 = 0.55 ms (vượt xa chỉ tiêu &lt; 2.0 ms, thông lượng &gt; 11,500 QPS). Xây dựng thành công 4 Function Tools chuẩn và bộ bóc tách thực thể ReAct Agent đạt F1 = 100% trên cả mã đơn và số điện thoại. Toàn bộ 18/18 bài kiểm tra hệ thống đều vượt qua.</w:t>
      </w:r>
    </w:p>
    <w:p>
      <w:pPr>
        <w:pStyle w:val="Heading1"/>
        <w:spacing w:before="240"/>
      </w:pPr>
      <w:r>
        <w:t>1. Phạm vi, Mục tiêu và Dữ liệu</w:t>
      </w:r>
    </w:p>
    <w:p>
      <w:r>
        <w:t>Mục tiêu của Module 3 là giải quyết bài toán tra cứu và thao tác dữ liệu đơn hàng động theo thời gian thực (Real-time dynamic data) phục vụ nhân viên CSKH, thay thế hoàn toàn giải pháp quét file JSON và regex thô sơ ban đầu bằng kiến trúc dữ liệu và điều phối công cụ chuyên nghiệp.</w:t>
      </w:r>
    </w:p>
    <w:p>
      <w:r>
        <w:t>• Nguồn dữ liệu: mock_orders.json gồm 100 đơn hàng Tiki đầy đủ trạng thái (chờ xác nhận, đang đóng gói, đang giao hàng GHN/Tiki, đã giao, đã hủy), chi tiết sản phẩm, số tiền và lịch trình vận chuyển.</w:t>
      </w:r>
    </w:p>
    <w:p>
      <w:r>
        <w:t>• Hạn chế của Baseline trước đây: Gateway chỉ dùng regex ORD-[A-Z0-9-]+ để bóc tách mã đơn viết hoa, bỏ sót các dạng viết thường, viết tắt (#1007, đơn 1005), không hỗ trợ số điện thoại; đồng thời Telemetry Service phải đọc và parse lại file JSON trong mỗi request khiến độ trễ p95 vượt quá 2.16 ms.</w:t>
      </w:r>
    </w:p>
    <w:p>
      <w:r>
        <w:t>• Tiêu chí đánh giá chất lượng (KPIs):</w:t>
      </w:r>
    </w:p>
    <w:p>
      <w:r>
        <w:t xml:space="preserve">    1. Database Lookup Latency: Thời gian truy xuất dữ liệu đơn hàng tại phân vị 95% phải đạt p95 &lt; 2.0 ms.</w:t>
      </w:r>
    </w:p>
    <w:p>
      <w:r>
        <w:t xml:space="preserve">    2. Entity Extraction Performance: Đạt độ chính xác cao (Precision, Recall, F1) khi bóc tách mã đơn, số điện thoại, mã vận đơn từ ngôn ngữ tự nhiên.</w:t>
      </w:r>
    </w:p>
    <w:p>
      <w:pPr>
        <w:pStyle w:val="Heading1"/>
        <w:spacing w:before="280"/>
      </w:pPr>
      <w:r>
        <w:t>2. Các Hạng mục đã Triển khai</w:t>
      </w:r>
    </w:p>
    <w:p>
      <w:r>
        <w:t>Module 3 đã hoàn thành 4 thành phần kỹ thuật cốt lõi được tích hợp trực tiếp vào hệ thống microservices:</w:t>
      </w:r>
    </w:p>
    <w:tbl>
      <w:tblPr>
        <w:tblW w:type="auto" w:w="0"/>
        <w:jc w:val="center"/>
        <w:tblLook w:firstColumn="1" w:firstRow="1" w:lastColumn="0" w:lastRow="0" w:noHBand="0" w:noVBand="1" w:val="04A0"/>
      </w:tblPr>
      <w:tblGrid>
        <w:gridCol w:w="3264"/>
        <w:gridCol w:w="3264"/>
        <w:gridCol w:w="3264"/>
      </w:tblGrid>
      <w:tr>
        <w:tc>
          <w:tcPr>
            <w:tcW w:type="dxa" w:w="2880"/>
            <w:shd w:fill="1F4E79"/>
            <w:tcMar>
              <w:top w:w="120" w:type="dxa"/>
              <w:bottom w:w="120" w:type="dxa"/>
              <w:left w:w="130" w:type="dxa"/>
              <w:right w:w="130" w:type="dxa"/>
            </w:tcMar>
          </w:tcPr>
          <w:p>
            <w:pPr>
              <w:jc w:val="center"/>
            </w:pPr>
            <w:r>
              <w:rPr>
                <w:rFonts w:ascii="Calibri" w:hAnsi="Calibri"/>
                <w:b/>
                <w:color w:val="FFFFFF"/>
                <w:sz w:val="20"/>
              </w:rPr>
              <w:t>Hạng mục Triển khai</w:t>
            </w:r>
          </w:p>
        </w:tc>
        <w:tc>
          <w:tcPr>
            <w:tcW w:type="dxa" w:w="3168"/>
            <w:shd w:fill="1F4E79"/>
            <w:tcMar>
              <w:top w:w="120" w:type="dxa"/>
              <w:bottom w:w="120" w:type="dxa"/>
              <w:left w:w="130" w:type="dxa"/>
              <w:right w:w="130" w:type="dxa"/>
            </w:tcMar>
          </w:tcPr>
          <w:p>
            <w:pPr>
              <w:jc w:val="center"/>
            </w:pPr>
            <w:r>
              <w:rPr>
                <w:rFonts w:ascii="Calibri" w:hAnsi="Calibri"/>
                <w:b/>
                <w:color w:val="FFFFFF"/>
                <w:sz w:val="20"/>
              </w:rPr>
              <w:t>Vị trí Mã nguồn</w:t>
            </w:r>
          </w:p>
        </w:tc>
        <w:tc>
          <w:tcPr>
            <w:tcW w:type="dxa" w:w="4320"/>
            <w:shd w:fill="1F4E79"/>
            <w:tcMar>
              <w:top w:w="120" w:type="dxa"/>
              <w:bottom w:w="120" w:type="dxa"/>
              <w:left w:w="130" w:type="dxa"/>
              <w:right w:w="130" w:type="dxa"/>
            </w:tcMar>
          </w:tcPr>
          <w:p>
            <w:pPr>
              <w:jc w:val="center"/>
            </w:pPr>
            <w:r>
              <w:rPr>
                <w:rFonts w:ascii="Calibri" w:hAnsi="Calibri"/>
                <w:b/>
                <w:color w:val="FFFFFF"/>
                <w:sz w:val="20"/>
              </w:rPr>
              <w:t>Mô tả Kỹ thuật &amp; Chức năng</w:t>
            </w:r>
          </w:p>
        </w:tc>
      </w:tr>
      <w:tr>
        <w:tc>
          <w:tcPr>
            <w:tcW w:type="dxa" w:w="2880"/>
            <w:shd w:fill="FFFFFF"/>
            <w:tcMar>
              <w:top w:w="80" w:type="dxa"/>
              <w:bottom w:w="80" w:type="dxa"/>
              <w:left w:w="130" w:type="dxa"/>
              <w:right w:w="130" w:type="dxa"/>
            </w:tcMar>
          </w:tcPr>
          <w:p>
            <w:pPr>
              <w:jc w:val="left"/>
            </w:pPr>
            <w:r>
              <w:rPr>
                <w:rFonts w:ascii="Calibri" w:hAnsi="Calibri"/>
                <w:sz w:val="19"/>
              </w:rPr>
              <w:t>1. Database Migration &amp; B-Tree Indexing</w:t>
            </w:r>
          </w:p>
        </w:tc>
        <w:tc>
          <w:tcPr>
            <w:tcW w:type="dxa" w:w="3168"/>
            <w:shd w:fill="FFFFFF"/>
            <w:tcMar>
              <w:top w:w="80" w:type="dxa"/>
              <w:bottom w:w="80" w:type="dxa"/>
              <w:left w:w="130" w:type="dxa"/>
              <w:right w:w="130" w:type="dxa"/>
            </w:tcMar>
          </w:tcPr>
          <w:p>
            <w:pPr>
              <w:jc w:val="center"/>
            </w:pPr>
            <w:r>
              <w:rPr>
                <w:rFonts w:ascii="Calibri" w:hAnsi="Calibri"/>
                <w:sz w:val="19"/>
              </w:rPr>
              <w:t>services/telemetry_service/src/database.py</w:t>
            </w:r>
          </w:p>
        </w:tc>
        <w:tc>
          <w:tcPr>
            <w:tcW w:type="dxa" w:w="4320"/>
            <w:shd w:fill="FFFFFF"/>
            <w:tcMar>
              <w:top w:w="80" w:type="dxa"/>
              <w:bottom w:w="80" w:type="dxa"/>
              <w:left w:w="130" w:type="dxa"/>
              <w:right w:w="130" w:type="dxa"/>
            </w:tcMar>
          </w:tcPr>
          <w:p>
            <w:pPr>
              <w:jc w:val="center"/>
            </w:pPr>
            <w:r>
              <w:rPr>
                <w:rFonts w:ascii="Calibri" w:hAnsi="Calibri"/>
                <w:sz w:val="19"/>
              </w:rPr>
              <w:t>Chuyển đổi 100 đơn hàng vào bảng orders trong SQLite (WAL Mode). Lập chỉ mục B-Tree trên order_id (Primary Key), customer_id, phone, tracking_code và order_status. Tự động seed dữ liệu khi khởi động.</w:t>
            </w:r>
          </w:p>
        </w:tc>
      </w:tr>
      <w:tr>
        <w:tc>
          <w:tcPr>
            <w:tcW w:type="dxa" w:w="2880"/>
            <w:shd w:fill="F2F5F8"/>
            <w:tcMar>
              <w:top w:w="80" w:type="dxa"/>
              <w:bottom w:w="80" w:type="dxa"/>
              <w:left w:w="130" w:type="dxa"/>
              <w:right w:w="130" w:type="dxa"/>
            </w:tcMar>
          </w:tcPr>
          <w:p>
            <w:pPr>
              <w:jc w:val="left"/>
            </w:pPr>
            <w:r>
              <w:rPr>
                <w:rFonts w:ascii="Calibri" w:hAnsi="Calibri"/>
                <w:sz w:val="19"/>
              </w:rPr>
              <w:t>2. Caching Layer (OrderLRUCache)</w:t>
            </w:r>
          </w:p>
        </w:tc>
        <w:tc>
          <w:tcPr>
            <w:tcW w:type="dxa" w:w="3168"/>
            <w:shd w:fill="F2F5F8"/>
            <w:tcMar>
              <w:top w:w="80" w:type="dxa"/>
              <w:bottom w:w="80" w:type="dxa"/>
              <w:left w:w="130" w:type="dxa"/>
              <w:right w:w="130" w:type="dxa"/>
            </w:tcMar>
          </w:tcPr>
          <w:p>
            <w:pPr>
              <w:jc w:val="center"/>
            </w:pPr>
            <w:r>
              <w:rPr>
                <w:rFonts w:ascii="Calibri" w:hAnsi="Calibri"/>
                <w:sz w:val="19"/>
              </w:rPr>
              <w:t>services/telemetry_service/src/cache.py</w:t>
            </w:r>
          </w:p>
        </w:tc>
        <w:tc>
          <w:tcPr>
            <w:tcW w:type="dxa" w:w="4320"/>
            <w:shd w:fill="F2F5F8"/>
            <w:tcMar>
              <w:top w:w="80" w:type="dxa"/>
              <w:bottom w:w="80" w:type="dxa"/>
              <w:left w:w="130" w:type="dxa"/>
              <w:right w:w="130" w:type="dxa"/>
            </w:tcMar>
          </w:tcPr>
          <w:p>
            <w:pPr>
              <w:jc w:val="center"/>
            </w:pPr>
            <w:r>
              <w:rPr>
                <w:rFonts w:ascii="Calibri" w:hAnsi="Calibri"/>
                <w:sz w:val="19"/>
              </w:rPr>
              <w:t>Triển khai bộ nhớ đệm luồng an toàn (Thread-safe) kích thước 256 mục. Hỗ trợ tra cứu O(1) qua 4 khóa: mã đơn, SĐT chuẩn hóa, customer_id, tracking_code. Tự động Invalidate khi có thao tác hủy đơn.</w:t>
            </w:r>
          </w:p>
        </w:tc>
      </w:tr>
      <w:tr>
        <w:tc>
          <w:tcPr>
            <w:tcW w:type="dxa" w:w="2880"/>
            <w:shd w:fill="FFFFFF"/>
            <w:tcMar>
              <w:top w:w="80" w:type="dxa"/>
              <w:bottom w:w="80" w:type="dxa"/>
              <w:left w:w="130" w:type="dxa"/>
              <w:right w:w="130" w:type="dxa"/>
            </w:tcMar>
          </w:tcPr>
          <w:p>
            <w:pPr>
              <w:jc w:val="left"/>
            </w:pPr>
            <w:r>
              <w:rPr>
                <w:rFonts w:ascii="Calibri" w:hAnsi="Calibri"/>
                <w:sz w:val="19"/>
              </w:rPr>
              <w:t>3. Standardized Function Tools</w:t>
            </w:r>
          </w:p>
        </w:tc>
        <w:tc>
          <w:tcPr>
            <w:tcW w:type="dxa" w:w="3168"/>
            <w:shd w:fill="FFFFFF"/>
            <w:tcMar>
              <w:top w:w="80" w:type="dxa"/>
              <w:bottom w:w="80" w:type="dxa"/>
              <w:left w:w="130" w:type="dxa"/>
              <w:right w:w="130" w:type="dxa"/>
            </w:tcMar>
          </w:tcPr>
          <w:p>
            <w:pPr>
              <w:jc w:val="center"/>
            </w:pPr>
            <w:r>
              <w:rPr>
                <w:rFonts w:ascii="Calibri" w:hAnsi="Calibri"/>
                <w:sz w:val="19"/>
              </w:rPr>
              <w:t>services/gateway/src/tools.py</w:t>
            </w:r>
          </w:p>
        </w:tc>
        <w:tc>
          <w:tcPr>
            <w:tcW w:type="dxa" w:w="4320"/>
            <w:shd w:fill="FFFFFF"/>
            <w:tcMar>
              <w:top w:w="80" w:type="dxa"/>
              <w:bottom w:w="80" w:type="dxa"/>
              <w:left w:w="130" w:type="dxa"/>
              <w:right w:w="130" w:type="dxa"/>
            </w:tcMar>
          </w:tcPr>
          <w:p>
            <w:pPr>
              <w:jc w:val="center"/>
            </w:pPr>
            <w:r>
              <w:rPr>
                <w:rFonts w:ascii="Calibri" w:hAnsi="Calibri"/>
                <w:sz w:val="19"/>
              </w:rPr>
              <w:t>Chuẩn hóa 4 tool theo chuẩn JSON Schema của OpenAI/Gemini: get_order_details, check_order_status, cancel_order, get_customer_orders kèm bộ điều phối ToolExecutor đo độ trễ thực thi.</w:t>
            </w:r>
          </w:p>
        </w:tc>
      </w:tr>
      <w:tr>
        <w:tc>
          <w:tcPr>
            <w:tcW w:type="dxa" w:w="2880"/>
            <w:shd w:fill="F2F5F8"/>
            <w:tcMar>
              <w:top w:w="80" w:type="dxa"/>
              <w:bottom w:w="80" w:type="dxa"/>
              <w:left w:w="130" w:type="dxa"/>
              <w:right w:w="130" w:type="dxa"/>
            </w:tcMar>
          </w:tcPr>
          <w:p>
            <w:pPr>
              <w:jc w:val="left"/>
            </w:pPr>
            <w:r>
              <w:rPr>
                <w:rFonts w:ascii="Calibri" w:hAnsi="Calibri"/>
                <w:sz w:val="19"/>
              </w:rPr>
              <w:t>4. ReAct Agent &amp; Multi-Entity Extractor</w:t>
            </w:r>
          </w:p>
        </w:tc>
        <w:tc>
          <w:tcPr>
            <w:tcW w:type="dxa" w:w="3168"/>
            <w:shd w:fill="F2F5F8"/>
            <w:tcMar>
              <w:top w:w="80" w:type="dxa"/>
              <w:bottom w:w="80" w:type="dxa"/>
              <w:left w:w="130" w:type="dxa"/>
              <w:right w:w="130" w:type="dxa"/>
            </w:tcMar>
          </w:tcPr>
          <w:p>
            <w:pPr>
              <w:jc w:val="center"/>
            </w:pPr>
            <w:r>
              <w:rPr>
                <w:rFonts w:ascii="Calibri" w:hAnsi="Calibri"/>
                <w:sz w:val="19"/>
              </w:rPr>
              <w:t>services/gateway/src/agent.py</w:t>
            </w:r>
          </w:p>
        </w:tc>
        <w:tc>
          <w:tcPr>
            <w:tcW w:type="dxa" w:w="4320"/>
            <w:shd w:fill="F2F5F8"/>
            <w:tcMar>
              <w:top w:w="80" w:type="dxa"/>
              <w:bottom w:w="80" w:type="dxa"/>
              <w:left w:w="130" w:type="dxa"/>
              <w:right w:w="130" w:type="dxa"/>
            </w:tcMar>
          </w:tcPr>
          <w:p>
            <w:pPr>
              <w:jc w:val="center"/>
            </w:pPr>
            <w:r>
              <w:rPr>
                <w:rFonts w:ascii="Calibri" w:hAnsi="Calibri"/>
                <w:sz w:val="19"/>
              </w:rPr>
              <w:t>Bộ bóc tách thực thể nâng cao hỗ trợ ngôn ngữ tự nhiên tiếng Việt, chuẩn hóa mã đơn, nhận diện SĐT, mã vận đơn và phân loại ý định thao tác (hủy đơn, tra cứu vận chuyển, xem hóa đơn) với độ chính xác 87.5%.</w:t>
            </w:r>
          </w:p>
        </w:tc>
      </w:tr>
    </w:tbl>
    <w:p>
      <w:pPr>
        <w:spacing w:after="160"/>
      </w:pPr>
    </w:p>
    <w:p>
      <w:pPr>
        <w:pStyle w:val="Heading1"/>
        <w:spacing w:before="280"/>
      </w:pPr>
      <w:r>
        <w:t>3. Phương pháp Benchmark và Kết quả Đối sánh</w:t>
      </w:r>
    </w:p>
    <w:p>
      <w:r>
        <w:t>Script benchmark độc lập scripts/benchmark_module3.py được xây dựng để đo lường tự động và khách quan trên cả 2 tiêu chí: độ trễ CSDL và chất lượng trích xuất thực thể.</w:t>
      </w:r>
    </w:p>
    <w:p>
      <w:pPr>
        <w:pStyle w:val="Heading2"/>
      </w:pPr>
      <w:r>
        <w:t>3.1. Benchmark Độ trễ Truy xuất CSDL (Database Lookup Latency)</w:t>
      </w:r>
    </w:p>
    <w:p>
      <w:r>
        <w:t>• Thiết lập thử nghiệm: Thực hiện 400 truy vấn ngẫu nhiên mô phỏng môi trường tải thực tế. Đối sánh 4 phương pháp: (1) Baseline quét file JSON tuần tự; (2) SQLite Unindexed quét toàn bảng; (3) SQLite Indexed truy vấn qua chỉ mục B-Tree; (4) SQLite + OrderLRUCache với kịch bản 80% truy vấn lặp lại.</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736"/>
            <w:shd w:fill="1F4E79"/>
            <w:tcMar>
              <w:top w:w="120" w:type="dxa"/>
              <w:bottom w:w="120" w:type="dxa"/>
              <w:left w:w="130" w:type="dxa"/>
              <w:right w:w="130" w:type="dxa"/>
            </w:tcMar>
          </w:tcPr>
          <w:p>
            <w:pPr>
              <w:jc w:val="center"/>
            </w:pPr>
            <w:r>
              <w:rPr>
                <w:rFonts w:ascii="Calibri" w:hAnsi="Calibri"/>
                <w:b/>
                <w:color w:val="FFFFFF"/>
                <w:sz w:val="20"/>
              </w:rPr>
              <w:t>Phương pháp Lưu trữ</w:t>
            </w:r>
          </w:p>
        </w:tc>
        <w:tc>
          <w:tcPr>
            <w:tcW w:type="dxa" w:w="1152"/>
            <w:shd w:fill="1F4E79"/>
            <w:tcMar>
              <w:top w:w="120" w:type="dxa"/>
              <w:bottom w:w="120" w:type="dxa"/>
              <w:left w:w="130" w:type="dxa"/>
              <w:right w:w="130" w:type="dxa"/>
            </w:tcMar>
          </w:tcPr>
          <w:p>
            <w:pPr>
              <w:jc w:val="center"/>
            </w:pPr>
            <w:r>
              <w:rPr>
                <w:rFonts w:ascii="Calibri" w:hAnsi="Calibri"/>
                <w:b/>
                <w:color w:val="FFFFFF"/>
                <w:sz w:val="20"/>
              </w:rPr>
              <w:t>p50</w:t>
            </w:r>
          </w:p>
        </w:tc>
        <w:tc>
          <w:tcPr>
            <w:tcW w:type="dxa" w:w="1152"/>
            <w:shd w:fill="1F4E79"/>
            <w:tcMar>
              <w:top w:w="120" w:type="dxa"/>
              <w:bottom w:w="120" w:type="dxa"/>
              <w:left w:w="130" w:type="dxa"/>
              <w:right w:w="130" w:type="dxa"/>
            </w:tcMar>
          </w:tcPr>
          <w:p>
            <w:pPr>
              <w:jc w:val="center"/>
            </w:pPr>
            <w:r>
              <w:rPr>
                <w:rFonts w:ascii="Calibri" w:hAnsi="Calibri"/>
                <w:b/>
                <w:color w:val="FFFFFF"/>
                <w:sz w:val="20"/>
              </w:rPr>
              <w:t>p90</w:t>
            </w:r>
          </w:p>
        </w:tc>
        <w:tc>
          <w:tcPr>
            <w:tcW w:type="dxa" w:w="1152"/>
            <w:shd w:fill="1F4E79"/>
            <w:tcMar>
              <w:top w:w="120" w:type="dxa"/>
              <w:bottom w:w="120" w:type="dxa"/>
              <w:left w:w="130" w:type="dxa"/>
              <w:right w:w="130" w:type="dxa"/>
            </w:tcMar>
          </w:tcPr>
          <w:p>
            <w:pPr>
              <w:jc w:val="center"/>
            </w:pPr>
            <w:r>
              <w:rPr>
                <w:rFonts w:ascii="Calibri" w:hAnsi="Calibri"/>
                <w:b/>
                <w:color w:val="FFFFFF"/>
                <w:sz w:val="20"/>
              </w:rPr>
              <w:t>p95</w:t>
            </w:r>
          </w:p>
        </w:tc>
        <w:tc>
          <w:tcPr>
            <w:tcW w:type="dxa" w:w="1152"/>
            <w:shd w:fill="1F4E79"/>
            <w:tcMar>
              <w:top w:w="120" w:type="dxa"/>
              <w:bottom w:w="120" w:type="dxa"/>
              <w:left w:w="130" w:type="dxa"/>
              <w:right w:w="130" w:type="dxa"/>
            </w:tcMar>
          </w:tcPr>
          <w:p>
            <w:pPr>
              <w:jc w:val="center"/>
            </w:pPr>
            <w:r>
              <w:rPr>
                <w:rFonts w:ascii="Calibri" w:hAnsi="Calibri"/>
                <w:b/>
                <w:color w:val="FFFFFF"/>
                <w:sz w:val="20"/>
              </w:rPr>
              <w:t>p99</w:t>
            </w:r>
          </w:p>
        </w:tc>
        <w:tc>
          <w:tcPr>
            <w:tcW w:type="dxa" w:w="1296"/>
            <w:shd w:fill="1F4E79"/>
            <w:tcMar>
              <w:top w:w="120" w:type="dxa"/>
              <w:bottom w:w="120" w:type="dxa"/>
              <w:left w:w="130" w:type="dxa"/>
              <w:right w:w="130" w:type="dxa"/>
            </w:tcMar>
          </w:tcPr>
          <w:p>
            <w:pPr>
              <w:jc w:val="center"/>
            </w:pPr>
            <w:r>
              <w:rPr>
                <w:rFonts w:ascii="Calibri" w:hAnsi="Calibri"/>
                <w:b/>
                <w:color w:val="FFFFFF"/>
                <w:sz w:val="20"/>
              </w:rPr>
              <w:t>Thông lượng</w:t>
            </w:r>
          </w:p>
        </w:tc>
        <w:tc>
          <w:tcPr>
            <w:tcW w:type="dxa" w:w="1152"/>
            <w:shd w:fill="1F4E79"/>
            <w:tcMar>
              <w:top w:w="120" w:type="dxa"/>
              <w:bottom w:w="120" w:type="dxa"/>
              <w:left w:w="130" w:type="dxa"/>
              <w:right w:w="130" w:type="dxa"/>
            </w:tcMar>
          </w:tcPr>
          <w:p>
            <w:pPr>
              <w:jc w:val="center"/>
            </w:pPr>
            <w:r>
              <w:rPr>
                <w:rFonts w:ascii="Calibri" w:hAnsi="Calibri"/>
                <w:b/>
                <w:color w:val="FFFFFF"/>
                <w:sz w:val="20"/>
              </w:rPr>
              <w:t>Chuẩn &lt;2ms</w:t>
            </w:r>
          </w:p>
        </w:tc>
      </w:tr>
      <w:tr>
        <w:tc>
          <w:tcPr>
            <w:tcW w:type="dxa" w:w="2736"/>
            <w:shd w:fill="FFFFFF"/>
            <w:tcMar>
              <w:top w:w="80" w:type="dxa"/>
              <w:bottom w:w="80" w:type="dxa"/>
              <w:left w:w="130" w:type="dxa"/>
              <w:right w:w="130" w:type="dxa"/>
            </w:tcMar>
          </w:tcPr>
          <w:p>
            <w:pPr>
              <w:jc w:val="left"/>
            </w:pPr>
            <w:r>
              <w:rPr>
                <w:rFonts w:ascii="Calibri" w:hAnsi="Calibri"/>
                <w:sz w:val="19"/>
              </w:rPr>
              <w:t>1. Baseline JSON Scan</w:t>
            </w:r>
          </w:p>
        </w:tc>
        <w:tc>
          <w:tcPr>
            <w:tcW w:type="dxa" w:w="1152"/>
            <w:shd w:fill="FFFFFF"/>
            <w:tcMar>
              <w:top w:w="80" w:type="dxa"/>
              <w:bottom w:w="80" w:type="dxa"/>
              <w:left w:w="130" w:type="dxa"/>
              <w:right w:w="130" w:type="dxa"/>
            </w:tcMar>
          </w:tcPr>
          <w:p>
            <w:pPr>
              <w:jc w:val="center"/>
            </w:pPr>
            <w:r>
              <w:rPr>
                <w:rFonts w:ascii="Calibri" w:hAnsi="Calibri"/>
                <w:sz w:val="19"/>
              </w:rPr>
              <w:t>0.6916 ms</w:t>
            </w:r>
          </w:p>
        </w:tc>
        <w:tc>
          <w:tcPr>
            <w:tcW w:type="dxa" w:w="1152"/>
            <w:shd w:fill="FFFFFF"/>
            <w:tcMar>
              <w:top w:w="80" w:type="dxa"/>
              <w:bottom w:w="80" w:type="dxa"/>
              <w:left w:w="130" w:type="dxa"/>
              <w:right w:w="130" w:type="dxa"/>
            </w:tcMar>
          </w:tcPr>
          <w:p>
            <w:pPr>
              <w:jc w:val="center"/>
            </w:pPr>
            <w:r>
              <w:rPr>
                <w:rFonts w:ascii="Calibri" w:hAnsi="Calibri"/>
                <w:sz w:val="19"/>
              </w:rPr>
              <w:t>1.8315 ms</w:t>
            </w:r>
          </w:p>
        </w:tc>
        <w:tc>
          <w:tcPr>
            <w:tcW w:type="dxa" w:w="1152"/>
            <w:shd w:fill="FFFFFF"/>
            <w:tcMar>
              <w:top w:w="80" w:type="dxa"/>
              <w:bottom w:w="80" w:type="dxa"/>
              <w:left w:w="130" w:type="dxa"/>
              <w:right w:w="130" w:type="dxa"/>
            </w:tcMar>
          </w:tcPr>
          <w:p>
            <w:pPr>
              <w:jc w:val="center"/>
            </w:pPr>
            <w:r>
              <w:rPr>
                <w:rFonts w:ascii="Calibri" w:hAnsi="Calibri"/>
                <w:sz w:val="19"/>
              </w:rPr>
              <w:t>2.1654 ms</w:t>
            </w:r>
          </w:p>
        </w:tc>
        <w:tc>
          <w:tcPr>
            <w:tcW w:type="dxa" w:w="1152"/>
            <w:shd w:fill="FFFFFF"/>
            <w:tcMar>
              <w:top w:w="80" w:type="dxa"/>
              <w:bottom w:w="80" w:type="dxa"/>
              <w:left w:w="130" w:type="dxa"/>
              <w:right w:w="130" w:type="dxa"/>
            </w:tcMar>
          </w:tcPr>
          <w:p>
            <w:pPr>
              <w:jc w:val="center"/>
            </w:pPr>
            <w:r>
              <w:rPr>
                <w:rFonts w:ascii="Calibri" w:hAnsi="Calibri"/>
                <w:sz w:val="19"/>
              </w:rPr>
              <w:t>2.8941 ms</w:t>
            </w:r>
          </w:p>
        </w:tc>
        <w:tc>
          <w:tcPr>
            <w:tcW w:type="dxa" w:w="1296"/>
            <w:shd w:fill="FFFFFF"/>
            <w:tcMar>
              <w:top w:w="80" w:type="dxa"/>
              <w:bottom w:w="80" w:type="dxa"/>
              <w:left w:w="130" w:type="dxa"/>
              <w:right w:w="130" w:type="dxa"/>
            </w:tcMar>
          </w:tcPr>
          <w:p>
            <w:pPr>
              <w:jc w:val="center"/>
            </w:pPr>
            <w:r>
              <w:rPr>
                <w:rFonts w:ascii="Calibri" w:hAnsi="Calibri"/>
                <w:sz w:val="19"/>
              </w:rPr>
              <w:t>1,110 req/s</w:t>
            </w:r>
          </w:p>
        </w:tc>
        <w:tc>
          <w:tcPr>
            <w:tcW w:type="dxa" w:w="1152"/>
            <w:shd w:fill="FFFFFF"/>
            <w:tcMar>
              <w:top w:w="80" w:type="dxa"/>
              <w:bottom w:w="80" w:type="dxa"/>
              <w:left w:w="130" w:type="dxa"/>
              <w:right w:w="130" w:type="dxa"/>
            </w:tcMar>
          </w:tcPr>
          <w:p>
            <w:pPr>
              <w:jc w:val="center"/>
            </w:pPr>
            <w:r>
              <w:rPr>
                <w:rFonts w:ascii="Calibri" w:hAnsi="Calibri"/>
                <w:sz w:val="19"/>
              </w:rPr>
              <w:t>❌ VƯỢT</w:t>
            </w:r>
          </w:p>
        </w:tc>
      </w:tr>
      <w:tr>
        <w:tc>
          <w:tcPr>
            <w:tcW w:type="dxa" w:w="2736"/>
            <w:shd w:fill="F2F5F8"/>
            <w:tcMar>
              <w:top w:w="80" w:type="dxa"/>
              <w:bottom w:w="80" w:type="dxa"/>
              <w:left w:w="130" w:type="dxa"/>
              <w:right w:w="130" w:type="dxa"/>
            </w:tcMar>
          </w:tcPr>
          <w:p>
            <w:pPr>
              <w:jc w:val="left"/>
            </w:pPr>
            <w:r>
              <w:rPr>
                <w:rFonts w:ascii="Calibri" w:hAnsi="Calibri"/>
                <w:sz w:val="19"/>
              </w:rPr>
              <w:t>2. SQLite Unindexed</w:t>
            </w:r>
          </w:p>
        </w:tc>
        <w:tc>
          <w:tcPr>
            <w:tcW w:type="dxa" w:w="1152"/>
            <w:shd w:fill="F2F5F8"/>
            <w:tcMar>
              <w:top w:w="80" w:type="dxa"/>
              <w:bottom w:w="80" w:type="dxa"/>
              <w:left w:w="130" w:type="dxa"/>
              <w:right w:w="130" w:type="dxa"/>
            </w:tcMar>
          </w:tcPr>
          <w:p>
            <w:pPr>
              <w:jc w:val="center"/>
            </w:pPr>
            <w:r>
              <w:rPr>
                <w:rFonts w:ascii="Calibri" w:hAnsi="Calibri"/>
                <w:sz w:val="19"/>
              </w:rPr>
              <w:t>0.5712 ms</w:t>
            </w:r>
          </w:p>
        </w:tc>
        <w:tc>
          <w:tcPr>
            <w:tcW w:type="dxa" w:w="1152"/>
            <w:shd w:fill="F2F5F8"/>
            <w:tcMar>
              <w:top w:w="80" w:type="dxa"/>
              <w:bottom w:w="80" w:type="dxa"/>
              <w:left w:w="130" w:type="dxa"/>
              <w:right w:w="130" w:type="dxa"/>
            </w:tcMar>
          </w:tcPr>
          <w:p>
            <w:pPr>
              <w:jc w:val="center"/>
            </w:pPr>
            <w:r>
              <w:rPr>
                <w:rFonts w:ascii="Calibri" w:hAnsi="Calibri"/>
                <w:sz w:val="19"/>
              </w:rPr>
              <w:t>0.9412 ms</w:t>
            </w:r>
          </w:p>
        </w:tc>
        <w:tc>
          <w:tcPr>
            <w:tcW w:type="dxa" w:w="1152"/>
            <w:shd w:fill="F2F5F8"/>
            <w:tcMar>
              <w:top w:w="80" w:type="dxa"/>
              <w:bottom w:w="80" w:type="dxa"/>
              <w:left w:w="130" w:type="dxa"/>
              <w:right w:w="130" w:type="dxa"/>
            </w:tcMar>
          </w:tcPr>
          <w:p>
            <w:pPr>
              <w:jc w:val="center"/>
            </w:pPr>
            <w:r>
              <w:rPr>
                <w:rFonts w:ascii="Calibri" w:hAnsi="Calibri"/>
                <w:sz w:val="19"/>
              </w:rPr>
              <w:t>1.1105 ms</w:t>
            </w:r>
          </w:p>
        </w:tc>
        <w:tc>
          <w:tcPr>
            <w:tcW w:type="dxa" w:w="1152"/>
            <w:shd w:fill="F2F5F8"/>
            <w:tcMar>
              <w:top w:w="80" w:type="dxa"/>
              <w:bottom w:w="80" w:type="dxa"/>
              <w:left w:w="130" w:type="dxa"/>
              <w:right w:w="130" w:type="dxa"/>
            </w:tcMar>
          </w:tcPr>
          <w:p>
            <w:pPr>
              <w:jc w:val="center"/>
            </w:pPr>
            <w:r>
              <w:rPr>
                <w:rFonts w:ascii="Calibri" w:hAnsi="Calibri"/>
                <w:sz w:val="19"/>
              </w:rPr>
              <w:t>1.5420 ms</w:t>
            </w:r>
          </w:p>
        </w:tc>
        <w:tc>
          <w:tcPr>
            <w:tcW w:type="dxa" w:w="1296"/>
            <w:shd w:fill="F2F5F8"/>
            <w:tcMar>
              <w:top w:w="80" w:type="dxa"/>
              <w:bottom w:w="80" w:type="dxa"/>
              <w:left w:w="130" w:type="dxa"/>
              <w:right w:w="130" w:type="dxa"/>
            </w:tcMar>
          </w:tcPr>
          <w:p>
            <w:pPr>
              <w:jc w:val="center"/>
            </w:pPr>
            <w:r>
              <w:rPr>
                <w:rFonts w:ascii="Calibri" w:hAnsi="Calibri"/>
                <w:sz w:val="19"/>
              </w:rPr>
              <w:t>1,518 req/s</w:t>
            </w:r>
          </w:p>
        </w:tc>
        <w:tc>
          <w:tcPr>
            <w:tcW w:type="dxa" w:w="1152"/>
            <w:shd w:fill="F2F5F8"/>
            <w:tcMar>
              <w:top w:w="80" w:type="dxa"/>
              <w:bottom w:w="80" w:type="dxa"/>
              <w:left w:w="130" w:type="dxa"/>
              <w:right w:w="130" w:type="dxa"/>
            </w:tcMar>
          </w:tcPr>
          <w:p>
            <w:pPr>
              <w:jc w:val="center"/>
            </w:pPr>
            <w:r>
              <w:rPr>
                <w:rFonts w:ascii="Calibri" w:hAnsi="Calibri"/>
                <w:sz w:val="19"/>
              </w:rPr>
              <w:t>✅ ĐẠT</w:t>
            </w:r>
          </w:p>
        </w:tc>
      </w:tr>
      <w:tr>
        <w:tc>
          <w:tcPr>
            <w:tcW w:type="dxa" w:w="2736"/>
            <w:shd w:fill="FFFFFF"/>
            <w:tcMar>
              <w:top w:w="80" w:type="dxa"/>
              <w:bottom w:w="80" w:type="dxa"/>
              <w:left w:w="130" w:type="dxa"/>
              <w:right w:w="130" w:type="dxa"/>
            </w:tcMar>
          </w:tcPr>
          <w:p>
            <w:pPr>
              <w:jc w:val="left"/>
            </w:pPr>
            <w:r>
              <w:rPr>
                <w:rFonts w:ascii="Calibri" w:hAnsi="Calibri"/>
                <w:sz w:val="19"/>
              </w:rPr>
              <w:t>3. SQLite Indexed</w:t>
            </w:r>
          </w:p>
        </w:tc>
        <w:tc>
          <w:tcPr>
            <w:tcW w:type="dxa" w:w="1152"/>
            <w:shd w:fill="FFFFFF"/>
            <w:tcMar>
              <w:top w:w="80" w:type="dxa"/>
              <w:bottom w:w="80" w:type="dxa"/>
              <w:left w:w="130" w:type="dxa"/>
              <w:right w:w="130" w:type="dxa"/>
            </w:tcMar>
          </w:tcPr>
          <w:p>
            <w:pPr>
              <w:jc w:val="center"/>
            </w:pPr>
            <w:r>
              <w:rPr>
                <w:rFonts w:ascii="Calibri" w:hAnsi="Calibri"/>
                <w:sz w:val="19"/>
              </w:rPr>
              <w:t>0.5236 ms</w:t>
            </w:r>
          </w:p>
        </w:tc>
        <w:tc>
          <w:tcPr>
            <w:tcW w:type="dxa" w:w="1152"/>
            <w:shd w:fill="FFFFFF"/>
            <w:tcMar>
              <w:top w:w="80" w:type="dxa"/>
              <w:bottom w:w="80" w:type="dxa"/>
              <w:left w:w="130" w:type="dxa"/>
              <w:right w:w="130" w:type="dxa"/>
            </w:tcMar>
          </w:tcPr>
          <w:p>
            <w:pPr>
              <w:jc w:val="center"/>
            </w:pPr>
            <w:r>
              <w:rPr>
                <w:rFonts w:ascii="Calibri" w:hAnsi="Calibri"/>
                <w:sz w:val="19"/>
              </w:rPr>
              <w:t>0.7410 ms</w:t>
            </w:r>
          </w:p>
        </w:tc>
        <w:tc>
          <w:tcPr>
            <w:tcW w:type="dxa" w:w="1152"/>
            <w:shd w:fill="FFFFFF"/>
            <w:tcMar>
              <w:top w:w="80" w:type="dxa"/>
              <w:bottom w:w="80" w:type="dxa"/>
              <w:left w:w="130" w:type="dxa"/>
              <w:right w:w="130" w:type="dxa"/>
            </w:tcMar>
          </w:tcPr>
          <w:p>
            <w:pPr>
              <w:jc w:val="center"/>
            </w:pPr>
            <w:r>
              <w:rPr>
                <w:rFonts w:ascii="Calibri" w:hAnsi="Calibri"/>
                <w:sz w:val="19"/>
              </w:rPr>
              <w:t>0.8473 ms</w:t>
            </w:r>
          </w:p>
        </w:tc>
        <w:tc>
          <w:tcPr>
            <w:tcW w:type="dxa" w:w="1152"/>
            <w:shd w:fill="FFFFFF"/>
            <w:tcMar>
              <w:top w:w="80" w:type="dxa"/>
              <w:bottom w:w="80" w:type="dxa"/>
              <w:left w:w="130" w:type="dxa"/>
              <w:right w:w="130" w:type="dxa"/>
            </w:tcMar>
          </w:tcPr>
          <w:p>
            <w:pPr>
              <w:jc w:val="center"/>
            </w:pPr>
            <w:r>
              <w:rPr>
                <w:rFonts w:ascii="Calibri" w:hAnsi="Calibri"/>
                <w:sz w:val="19"/>
              </w:rPr>
              <w:t>1.2185 ms</w:t>
            </w:r>
          </w:p>
        </w:tc>
        <w:tc>
          <w:tcPr>
            <w:tcW w:type="dxa" w:w="1296"/>
            <w:shd w:fill="FFFFFF"/>
            <w:tcMar>
              <w:top w:w="80" w:type="dxa"/>
              <w:bottom w:w="80" w:type="dxa"/>
              <w:left w:w="130" w:type="dxa"/>
              <w:right w:w="130" w:type="dxa"/>
            </w:tcMar>
          </w:tcPr>
          <w:p>
            <w:pPr>
              <w:jc w:val="center"/>
            </w:pPr>
            <w:r>
              <w:rPr>
                <w:rFonts w:ascii="Calibri" w:hAnsi="Calibri"/>
                <w:sz w:val="19"/>
              </w:rPr>
              <w:t>1,738 req/s</w:t>
            </w:r>
          </w:p>
        </w:tc>
        <w:tc>
          <w:tcPr>
            <w:tcW w:type="dxa" w:w="1152"/>
            <w:shd w:fill="FFFFFF"/>
            <w:tcMar>
              <w:top w:w="80" w:type="dxa"/>
              <w:bottom w:w="80" w:type="dxa"/>
              <w:left w:w="130" w:type="dxa"/>
              <w:right w:w="130" w:type="dxa"/>
            </w:tcMar>
          </w:tcPr>
          <w:p>
            <w:pPr>
              <w:jc w:val="center"/>
            </w:pPr>
            <w:r>
              <w:rPr>
                <w:rFonts w:ascii="Calibri" w:hAnsi="Calibri"/>
                <w:sz w:val="19"/>
              </w:rPr>
              <w:t>✅ ĐẠT</w:t>
            </w:r>
          </w:p>
        </w:tc>
      </w:tr>
      <w:tr>
        <w:tc>
          <w:tcPr>
            <w:tcW w:type="dxa" w:w="2736"/>
            <w:shd w:fill="F2F5F8"/>
            <w:tcMar>
              <w:top w:w="80" w:type="dxa"/>
              <w:bottom w:w="80" w:type="dxa"/>
              <w:left w:w="130" w:type="dxa"/>
              <w:right w:w="130" w:type="dxa"/>
            </w:tcMar>
          </w:tcPr>
          <w:p>
            <w:pPr>
              <w:jc w:val="left"/>
            </w:pPr>
            <w:r>
              <w:rPr>
                <w:rFonts w:ascii="Calibri" w:hAnsi="Calibri"/>
                <w:sz w:val="19"/>
              </w:rPr>
              <w:t>4. SQLite + LRU Cache</w:t>
            </w:r>
          </w:p>
        </w:tc>
        <w:tc>
          <w:tcPr>
            <w:tcW w:type="dxa" w:w="1152"/>
            <w:shd w:fill="F2F5F8"/>
            <w:tcMar>
              <w:top w:w="80" w:type="dxa"/>
              <w:bottom w:w="80" w:type="dxa"/>
              <w:left w:w="130" w:type="dxa"/>
              <w:right w:w="130" w:type="dxa"/>
            </w:tcMar>
          </w:tcPr>
          <w:p>
            <w:pPr>
              <w:jc w:val="center"/>
            </w:pPr>
            <w:r>
              <w:rPr>
                <w:rFonts w:ascii="Calibri" w:hAnsi="Calibri"/>
                <w:sz w:val="19"/>
              </w:rPr>
              <w:t>0.0176 ms</w:t>
            </w:r>
          </w:p>
        </w:tc>
        <w:tc>
          <w:tcPr>
            <w:tcW w:type="dxa" w:w="1152"/>
            <w:shd w:fill="F2F5F8"/>
            <w:tcMar>
              <w:top w:w="80" w:type="dxa"/>
              <w:bottom w:w="80" w:type="dxa"/>
              <w:left w:w="130" w:type="dxa"/>
              <w:right w:w="130" w:type="dxa"/>
            </w:tcMar>
          </w:tcPr>
          <w:p>
            <w:pPr>
              <w:jc w:val="center"/>
            </w:pPr>
            <w:r>
              <w:rPr>
                <w:rFonts w:ascii="Calibri" w:hAnsi="Calibri"/>
                <w:sz w:val="19"/>
              </w:rPr>
              <w:t>0.0210 ms</w:t>
            </w:r>
          </w:p>
        </w:tc>
        <w:tc>
          <w:tcPr>
            <w:tcW w:type="dxa" w:w="1152"/>
            <w:shd w:fill="F2F5F8"/>
            <w:tcMar>
              <w:top w:w="80" w:type="dxa"/>
              <w:bottom w:w="80" w:type="dxa"/>
              <w:left w:w="130" w:type="dxa"/>
              <w:right w:w="130" w:type="dxa"/>
            </w:tcMar>
          </w:tcPr>
          <w:p>
            <w:pPr>
              <w:jc w:val="center"/>
            </w:pPr>
            <w:r>
              <w:rPr>
                <w:rFonts w:ascii="Calibri" w:hAnsi="Calibri"/>
                <w:sz w:val="19"/>
              </w:rPr>
              <w:t>0.5499 ms</w:t>
            </w:r>
          </w:p>
        </w:tc>
        <w:tc>
          <w:tcPr>
            <w:tcW w:type="dxa" w:w="1152"/>
            <w:shd w:fill="F2F5F8"/>
            <w:tcMar>
              <w:top w:w="80" w:type="dxa"/>
              <w:bottom w:w="80" w:type="dxa"/>
              <w:left w:w="130" w:type="dxa"/>
              <w:right w:w="130" w:type="dxa"/>
            </w:tcMar>
          </w:tcPr>
          <w:p>
            <w:pPr>
              <w:jc w:val="center"/>
            </w:pPr>
            <w:r>
              <w:rPr>
                <w:rFonts w:ascii="Calibri" w:hAnsi="Calibri"/>
                <w:sz w:val="19"/>
              </w:rPr>
              <w:t>0.8120 ms</w:t>
            </w:r>
          </w:p>
        </w:tc>
        <w:tc>
          <w:tcPr>
            <w:tcW w:type="dxa" w:w="1296"/>
            <w:shd w:fill="F2F5F8"/>
            <w:tcMar>
              <w:top w:w="80" w:type="dxa"/>
              <w:bottom w:w="80" w:type="dxa"/>
              <w:left w:w="130" w:type="dxa"/>
              <w:right w:w="130" w:type="dxa"/>
            </w:tcMar>
          </w:tcPr>
          <w:p>
            <w:pPr>
              <w:jc w:val="center"/>
            </w:pPr>
            <w:r>
              <w:rPr>
                <w:rFonts w:ascii="Calibri" w:hAnsi="Calibri"/>
                <w:sz w:val="19"/>
              </w:rPr>
              <w:t>11,532 req/s</w:t>
            </w:r>
          </w:p>
        </w:tc>
        <w:tc>
          <w:tcPr>
            <w:tcW w:type="dxa" w:w="1152"/>
            <w:shd w:fill="F2F5F8"/>
            <w:tcMar>
              <w:top w:w="80" w:type="dxa"/>
              <w:bottom w:w="80" w:type="dxa"/>
              <w:left w:w="130" w:type="dxa"/>
              <w:right w:w="130" w:type="dxa"/>
            </w:tcMar>
          </w:tcPr>
          <w:p>
            <w:pPr>
              <w:jc w:val="center"/>
            </w:pPr>
            <w:r>
              <w:rPr>
                <w:rFonts w:ascii="Calibri" w:hAnsi="Calibri"/>
                <w:sz w:val="19"/>
              </w:rPr>
              <w:t>✅ XUẤT SẮC</w:t>
            </w:r>
          </w:p>
        </w:tc>
      </w:tr>
    </w:tbl>
    <w:p>
      <w:pPr>
        <w:spacing w:after="80"/>
      </w:pPr>
    </w:p>
    <w:p>
      <w:r>
        <w:t>Phân tích kết quả: Baseline quét JSON bị vi phạm ngưỡng độ trễ (p95 = 2.17 ms &gt; 2.0 ms) do chi phí mở file I/O và parse JSON. Việc chuyển sang SQLite có chỉ mục giúp giảm 61% độ trễ p95 (xuống 0.85 ms). Đặc biệt, khi kết hợp cùng OrderLRUCache, độ trễ trung bình chỉ còn 0.017 ms (17 microgiây) và đẩy thông lượng hệ thống lên hơn 11,500 truy vấn/giây.</w:t>
      </w:r>
    </w:p>
    <w:p>
      <w:pPr>
        <w:pStyle w:val="Heading2"/>
      </w:pPr>
      <w:r>
        <w:t>3.2. Benchmark Trích xuất Thực thể &amp; Nhận diện Ý định (Entity Extraction)</w:t>
      </w:r>
    </w:p>
    <w:p>
      <w:r>
        <w:t>• Thiết lập thử nghiệm: Đánh giá trên tập dữ liệu kiểm thử chuẩn gồm 40 tình huống hội thoại thực tế (data/module3_eval_dataset.json) bao gồm các biến thể mã đơn viết thường, mã đơn không tiền tố, hashtag, số điện thoại tiếng Việt, mã vận đơn và ý định hủy đơn.</w:t>
      </w:r>
    </w:p>
    <w:tbl>
      <w:tblPr>
        <w:tblW w:type="auto" w:w="0"/>
        <w:jc w:val="center"/>
        <w:tblLook w:firstColumn="1" w:firstRow="1" w:lastColumn="0" w:lastRow="0" w:noHBand="0" w:noVBand="1" w:val="04A0"/>
      </w:tblPr>
      <w:tblGrid>
        <w:gridCol w:w="1958"/>
        <w:gridCol w:w="1958"/>
        <w:gridCol w:w="1958"/>
        <w:gridCol w:w="1958"/>
        <w:gridCol w:w="1958"/>
      </w:tblGrid>
      <w:tr>
        <w:tc>
          <w:tcPr>
            <w:tcW w:type="dxa" w:w="3024"/>
            <w:shd w:fill="1B365D"/>
            <w:tcMar>
              <w:top w:w="120" w:type="dxa"/>
              <w:bottom w:w="120" w:type="dxa"/>
              <w:left w:w="130" w:type="dxa"/>
              <w:right w:w="130" w:type="dxa"/>
            </w:tcMar>
          </w:tcPr>
          <w:p>
            <w:pPr>
              <w:jc w:val="center"/>
            </w:pPr>
            <w:r>
              <w:rPr>
                <w:rFonts w:ascii="Calibri" w:hAnsi="Calibri"/>
                <w:b/>
                <w:color w:val="FFFFFF"/>
                <w:sz w:val="20"/>
              </w:rPr>
              <w:t>Thành phần Đánh giá</w:t>
            </w:r>
          </w:p>
        </w:tc>
        <w:tc>
          <w:tcPr>
            <w:tcW w:type="dxa" w:w="1296"/>
            <w:shd w:fill="1B365D"/>
            <w:tcMar>
              <w:top w:w="120" w:type="dxa"/>
              <w:bottom w:w="120" w:type="dxa"/>
              <w:left w:w="130" w:type="dxa"/>
              <w:right w:w="130" w:type="dxa"/>
            </w:tcMar>
          </w:tcPr>
          <w:p>
            <w:pPr>
              <w:jc w:val="center"/>
            </w:pPr>
            <w:r>
              <w:rPr>
                <w:rFonts w:ascii="Calibri" w:hAnsi="Calibri"/>
                <w:b/>
                <w:color w:val="FFFFFF"/>
                <w:sz w:val="20"/>
              </w:rPr>
              <w:t>Precision</w:t>
            </w:r>
          </w:p>
        </w:tc>
        <w:tc>
          <w:tcPr>
            <w:tcW w:type="dxa" w:w="1296"/>
            <w:shd w:fill="1B365D"/>
            <w:tcMar>
              <w:top w:w="120" w:type="dxa"/>
              <w:bottom w:w="120" w:type="dxa"/>
              <w:left w:w="130" w:type="dxa"/>
              <w:right w:w="130" w:type="dxa"/>
            </w:tcMar>
          </w:tcPr>
          <w:p>
            <w:pPr>
              <w:jc w:val="center"/>
            </w:pPr>
            <w:r>
              <w:rPr>
                <w:rFonts w:ascii="Calibri" w:hAnsi="Calibri"/>
                <w:b/>
                <w:color w:val="FFFFFF"/>
                <w:sz w:val="20"/>
              </w:rPr>
              <w:t>Recall</w:t>
            </w:r>
          </w:p>
        </w:tc>
        <w:tc>
          <w:tcPr>
            <w:tcW w:type="dxa" w:w="1296"/>
            <w:shd w:fill="1B365D"/>
            <w:tcMar>
              <w:top w:w="120" w:type="dxa"/>
              <w:bottom w:w="120" w:type="dxa"/>
              <w:left w:w="130" w:type="dxa"/>
              <w:right w:w="130" w:type="dxa"/>
            </w:tcMar>
          </w:tcPr>
          <w:p>
            <w:pPr>
              <w:jc w:val="center"/>
            </w:pPr>
            <w:r>
              <w:rPr>
                <w:rFonts w:ascii="Calibri" w:hAnsi="Calibri"/>
                <w:b/>
                <w:color w:val="FFFFFF"/>
                <w:sz w:val="20"/>
              </w:rPr>
              <w:t>F1-Score</w:t>
            </w:r>
          </w:p>
        </w:tc>
        <w:tc>
          <w:tcPr>
            <w:tcW w:type="dxa" w:w="2880"/>
            <w:shd w:fill="1B365D"/>
            <w:tcMar>
              <w:top w:w="120" w:type="dxa"/>
              <w:bottom w:w="120" w:type="dxa"/>
              <w:left w:w="130" w:type="dxa"/>
              <w:right w:w="130" w:type="dxa"/>
            </w:tcMar>
          </w:tcPr>
          <w:p>
            <w:pPr>
              <w:jc w:val="center"/>
            </w:pPr>
            <w:r>
              <w:rPr>
                <w:rFonts w:ascii="Calibri" w:hAnsi="Calibri"/>
                <w:b/>
                <w:color w:val="FFFFFF"/>
                <w:sz w:val="20"/>
              </w:rPr>
              <w:t>Ghi chú Phân tích</w:t>
            </w:r>
          </w:p>
        </w:tc>
      </w:tr>
      <w:tr>
        <w:tc>
          <w:tcPr>
            <w:tcW w:type="dxa" w:w="3024"/>
            <w:shd w:fill="FFFFFF"/>
            <w:tcMar>
              <w:top w:w="80" w:type="dxa"/>
              <w:bottom w:w="80" w:type="dxa"/>
              <w:left w:w="130" w:type="dxa"/>
              <w:right w:w="130" w:type="dxa"/>
            </w:tcMar>
          </w:tcPr>
          <w:p>
            <w:pPr>
              <w:jc w:val="left"/>
            </w:pPr>
            <w:r>
              <w:rPr>
                <w:rFonts w:ascii="Calibri" w:hAnsi="Calibri"/>
                <w:sz w:val="19"/>
              </w:rPr>
              <w:t>Baseline Regex (Mã đơn hàng)</w:t>
            </w:r>
          </w:p>
        </w:tc>
        <w:tc>
          <w:tcPr>
            <w:tcW w:type="dxa" w:w="1296"/>
            <w:shd w:fill="FFFFFF"/>
            <w:tcMar>
              <w:top w:w="80" w:type="dxa"/>
              <w:bottom w:w="80" w:type="dxa"/>
              <w:left w:w="130" w:type="dxa"/>
              <w:right w:w="130" w:type="dxa"/>
            </w:tcMar>
          </w:tcPr>
          <w:p>
            <w:pPr>
              <w:jc w:val="center"/>
            </w:pPr>
            <w:r>
              <w:rPr>
                <w:rFonts w:ascii="Calibri" w:hAnsi="Calibri"/>
                <w:sz w:val="19"/>
              </w:rPr>
              <w:t>100.00%</w:t>
            </w:r>
          </w:p>
        </w:tc>
        <w:tc>
          <w:tcPr>
            <w:tcW w:type="dxa" w:w="1296"/>
            <w:shd w:fill="FFFFFF"/>
            <w:tcMar>
              <w:top w:w="80" w:type="dxa"/>
              <w:bottom w:w="80" w:type="dxa"/>
              <w:left w:w="130" w:type="dxa"/>
              <w:right w:w="130" w:type="dxa"/>
            </w:tcMar>
          </w:tcPr>
          <w:p>
            <w:pPr>
              <w:jc w:val="center"/>
            </w:pPr>
            <w:r>
              <w:rPr>
                <w:rFonts w:ascii="Calibri" w:hAnsi="Calibri"/>
                <w:sz w:val="19"/>
              </w:rPr>
              <w:t>62.96%</w:t>
            </w:r>
          </w:p>
        </w:tc>
        <w:tc>
          <w:tcPr>
            <w:tcW w:type="dxa" w:w="1296"/>
            <w:shd w:fill="FFFFFF"/>
            <w:tcMar>
              <w:top w:w="80" w:type="dxa"/>
              <w:bottom w:w="80" w:type="dxa"/>
              <w:left w:w="130" w:type="dxa"/>
              <w:right w:w="130" w:type="dxa"/>
            </w:tcMar>
          </w:tcPr>
          <w:p>
            <w:pPr>
              <w:jc w:val="center"/>
            </w:pPr>
            <w:r>
              <w:rPr>
                <w:rFonts w:ascii="Calibri" w:hAnsi="Calibri"/>
                <w:sz w:val="19"/>
              </w:rPr>
              <w:t>77.27%</w:t>
            </w:r>
          </w:p>
        </w:tc>
        <w:tc>
          <w:tcPr>
            <w:tcW w:type="dxa" w:w="2880"/>
            <w:shd w:fill="FFFFFF"/>
            <w:tcMar>
              <w:top w:w="80" w:type="dxa"/>
              <w:bottom w:w="80" w:type="dxa"/>
              <w:left w:w="130" w:type="dxa"/>
              <w:right w:w="130" w:type="dxa"/>
            </w:tcMar>
          </w:tcPr>
          <w:p>
            <w:pPr>
              <w:jc w:val="center"/>
            </w:pPr>
            <w:r>
              <w:rPr>
                <w:rFonts w:ascii="Calibri" w:hAnsi="Calibri"/>
                <w:sz w:val="19"/>
              </w:rPr>
              <w:t>Bỏ sót hoàn toàn các dạng: 'đơn 1005', '#1007', 'ord-1004'</w:t>
            </w:r>
          </w:p>
        </w:tc>
      </w:tr>
      <w:tr>
        <w:tc>
          <w:tcPr>
            <w:tcW w:type="dxa" w:w="3024"/>
            <w:shd w:fill="F2F5F8"/>
            <w:tcMar>
              <w:top w:w="80" w:type="dxa"/>
              <w:bottom w:w="80" w:type="dxa"/>
              <w:left w:w="130" w:type="dxa"/>
              <w:right w:w="130" w:type="dxa"/>
            </w:tcMar>
          </w:tcPr>
          <w:p>
            <w:pPr>
              <w:jc w:val="left"/>
            </w:pPr>
            <w:r>
              <w:rPr>
                <w:rFonts w:ascii="Calibri" w:hAnsi="Calibri"/>
                <w:sz w:val="19"/>
              </w:rPr>
              <w:t>Advanced ReAct (Mã đơn hàng)</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2880"/>
            <w:shd w:fill="F2F5F8"/>
            <w:tcMar>
              <w:top w:w="80" w:type="dxa"/>
              <w:bottom w:w="80" w:type="dxa"/>
              <w:left w:w="130" w:type="dxa"/>
              <w:right w:w="130" w:type="dxa"/>
            </w:tcMar>
          </w:tcPr>
          <w:p>
            <w:pPr>
              <w:jc w:val="center"/>
            </w:pPr>
            <w:r>
              <w:rPr>
                <w:rFonts w:ascii="Calibri" w:hAnsi="Calibri"/>
                <w:sz w:val="19"/>
              </w:rPr>
              <w:t>Chuẩn hóa hoàn hảo mọi biến thể cú pháp về mã chuẩn ORD-xxxx</w:t>
            </w:r>
          </w:p>
        </w:tc>
      </w:tr>
      <w:tr>
        <w:tc>
          <w:tcPr>
            <w:tcW w:type="dxa" w:w="3024"/>
            <w:shd w:fill="FFFFFF"/>
            <w:tcMar>
              <w:top w:w="80" w:type="dxa"/>
              <w:bottom w:w="80" w:type="dxa"/>
              <w:left w:w="130" w:type="dxa"/>
              <w:right w:w="130" w:type="dxa"/>
            </w:tcMar>
          </w:tcPr>
          <w:p>
            <w:pPr>
              <w:jc w:val="left"/>
            </w:pPr>
            <w:r>
              <w:rPr>
                <w:rFonts w:ascii="Calibri" w:hAnsi="Calibri"/>
                <w:sz w:val="19"/>
              </w:rPr>
              <w:t>Baseline Regex (Số điện thoại)</w:t>
            </w:r>
          </w:p>
        </w:tc>
        <w:tc>
          <w:tcPr>
            <w:tcW w:type="dxa" w:w="1296"/>
            <w:shd w:fill="FFFFFF"/>
            <w:tcMar>
              <w:top w:w="80" w:type="dxa"/>
              <w:bottom w:w="80" w:type="dxa"/>
              <w:left w:w="130" w:type="dxa"/>
              <w:right w:w="130" w:type="dxa"/>
            </w:tcMar>
          </w:tcPr>
          <w:p>
            <w:pPr>
              <w:jc w:val="center"/>
            </w:pPr>
            <w:r>
              <w:rPr>
                <w:rFonts w:ascii="Calibri" w:hAnsi="Calibri"/>
                <w:sz w:val="19"/>
              </w:rPr>
              <w:t>0.00%</w:t>
            </w:r>
          </w:p>
        </w:tc>
        <w:tc>
          <w:tcPr>
            <w:tcW w:type="dxa" w:w="1296"/>
            <w:shd w:fill="FFFFFF"/>
            <w:tcMar>
              <w:top w:w="80" w:type="dxa"/>
              <w:bottom w:w="80" w:type="dxa"/>
              <w:left w:w="130" w:type="dxa"/>
              <w:right w:w="130" w:type="dxa"/>
            </w:tcMar>
          </w:tcPr>
          <w:p>
            <w:pPr>
              <w:jc w:val="center"/>
            </w:pPr>
            <w:r>
              <w:rPr>
                <w:rFonts w:ascii="Calibri" w:hAnsi="Calibri"/>
                <w:sz w:val="19"/>
              </w:rPr>
              <w:t>0.00%</w:t>
            </w:r>
          </w:p>
        </w:tc>
        <w:tc>
          <w:tcPr>
            <w:tcW w:type="dxa" w:w="1296"/>
            <w:shd w:fill="FFFFFF"/>
            <w:tcMar>
              <w:top w:w="80" w:type="dxa"/>
              <w:bottom w:w="80" w:type="dxa"/>
              <w:left w:w="130" w:type="dxa"/>
              <w:right w:w="130" w:type="dxa"/>
            </w:tcMar>
          </w:tcPr>
          <w:p>
            <w:pPr>
              <w:jc w:val="center"/>
            </w:pPr>
            <w:r>
              <w:rPr>
                <w:rFonts w:ascii="Calibri" w:hAnsi="Calibri"/>
                <w:sz w:val="19"/>
              </w:rPr>
              <w:t>0.00%</w:t>
            </w:r>
          </w:p>
        </w:tc>
        <w:tc>
          <w:tcPr>
            <w:tcW w:type="dxa" w:w="2880"/>
            <w:shd w:fill="FFFFFF"/>
            <w:tcMar>
              <w:top w:w="80" w:type="dxa"/>
              <w:bottom w:w="80" w:type="dxa"/>
              <w:left w:w="130" w:type="dxa"/>
              <w:right w:w="130" w:type="dxa"/>
            </w:tcMar>
          </w:tcPr>
          <w:p>
            <w:pPr>
              <w:jc w:val="center"/>
            </w:pPr>
            <w:r>
              <w:rPr>
                <w:rFonts w:ascii="Calibri" w:hAnsi="Calibri"/>
                <w:sz w:val="19"/>
              </w:rPr>
              <w:t>Hoàn toàn không hỗ trợ nhận diện số điện thoại</w:t>
            </w:r>
          </w:p>
        </w:tc>
      </w:tr>
      <w:tr>
        <w:tc>
          <w:tcPr>
            <w:tcW w:type="dxa" w:w="3024"/>
            <w:shd w:fill="F2F5F8"/>
            <w:tcMar>
              <w:top w:w="80" w:type="dxa"/>
              <w:bottom w:w="80" w:type="dxa"/>
              <w:left w:w="130" w:type="dxa"/>
              <w:right w:w="130" w:type="dxa"/>
            </w:tcMar>
          </w:tcPr>
          <w:p>
            <w:pPr>
              <w:jc w:val="left"/>
            </w:pPr>
            <w:r>
              <w:rPr>
                <w:rFonts w:ascii="Calibri" w:hAnsi="Calibri"/>
                <w:sz w:val="19"/>
              </w:rPr>
              <w:t>Advanced ReAct (Số điện thoại)</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1296"/>
            <w:shd w:fill="F2F5F8"/>
            <w:tcMar>
              <w:top w:w="80" w:type="dxa"/>
              <w:bottom w:w="80" w:type="dxa"/>
              <w:left w:w="130" w:type="dxa"/>
              <w:right w:w="130" w:type="dxa"/>
            </w:tcMar>
          </w:tcPr>
          <w:p>
            <w:pPr>
              <w:jc w:val="center"/>
            </w:pPr>
            <w:r>
              <w:rPr>
                <w:rFonts w:ascii="Calibri" w:hAnsi="Calibri"/>
                <w:sz w:val="19"/>
              </w:rPr>
              <w:t>100.00%</w:t>
            </w:r>
          </w:p>
        </w:tc>
        <w:tc>
          <w:tcPr>
            <w:tcW w:type="dxa" w:w="2880"/>
            <w:shd w:fill="F2F5F8"/>
            <w:tcMar>
              <w:top w:w="80" w:type="dxa"/>
              <w:bottom w:w="80" w:type="dxa"/>
              <w:left w:w="130" w:type="dxa"/>
              <w:right w:w="130" w:type="dxa"/>
            </w:tcMar>
          </w:tcPr>
          <w:p>
            <w:pPr>
              <w:jc w:val="center"/>
            </w:pPr>
            <w:r>
              <w:rPr>
                <w:rFonts w:ascii="Calibri" w:hAnsi="Calibri"/>
                <w:sz w:val="19"/>
              </w:rPr>
              <w:t>Bóc tách chính xác các định dạng 0938.242.854, 0938242854, +84...</w:t>
            </w:r>
          </w:p>
        </w:tc>
      </w:tr>
      <w:tr>
        <w:tc>
          <w:tcPr>
            <w:tcW w:type="dxa" w:w="3024"/>
            <w:shd w:fill="FFFFFF"/>
            <w:tcMar>
              <w:top w:w="80" w:type="dxa"/>
              <w:bottom w:w="80" w:type="dxa"/>
              <w:left w:w="130" w:type="dxa"/>
              <w:right w:w="130" w:type="dxa"/>
            </w:tcMar>
          </w:tcPr>
          <w:p>
            <w:pPr>
              <w:jc w:val="left"/>
            </w:pPr>
            <w:r>
              <w:rPr>
                <w:rFonts w:ascii="Calibri" w:hAnsi="Calibri"/>
                <w:sz w:val="19"/>
              </w:rPr>
              <w:t>Độ chính xác Action Intent</w:t>
            </w:r>
          </w:p>
        </w:tc>
        <w:tc>
          <w:tcPr>
            <w:tcW w:type="dxa" w:w="1296"/>
            <w:shd w:fill="FFFFFF"/>
            <w:tcMar>
              <w:top w:w="80" w:type="dxa"/>
              <w:bottom w:w="80" w:type="dxa"/>
              <w:left w:w="130" w:type="dxa"/>
              <w:right w:w="130" w:type="dxa"/>
            </w:tcMar>
          </w:tcPr>
          <w:p>
            <w:pPr>
              <w:jc w:val="center"/>
            </w:pPr>
            <w:r>
              <w:rPr>
                <w:rFonts w:ascii="Calibri" w:hAnsi="Calibri"/>
                <w:sz w:val="19"/>
              </w:rPr>
              <w:t>—</w:t>
            </w:r>
          </w:p>
        </w:tc>
        <w:tc>
          <w:tcPr>
            <w:tcW w:type="dxa" w:w="1296"/>
            <w:shd w:fill="FFFFFF"/>
            <w:tcMar>
              <w:top w:w="80" w:type="dxa"/>
              <w:bottom w:w="80" w:type="dxa"/>
              <w:left w:w="130" w:type="dxa"/>
              <w:right w:w="130" w:type="dxa"/>
            </w:tcMar>
          </w:tcPr>
          <w:p>
            <w:pPr>
              <w:jc w:val="center"/>
            </w:pPr>
            <w:r>
              <w:rPr>
                <w:rFonts w:ascii="Calibri" w:hAnsi="Calibri"/>
                <w:sz w:val="19"/>
              </w:rPr>
              <w:t>—</w:t>
            </w:r>
          </w:p>
        </w:tc>
        <w:tc>
          <w:tcPr>
            <w:tcW w:type="dxa" w:w="1296"/>
            <w:shd w:fill="FFFFFF"/>
            <w:tcMar>
              <w:top w:w="80" w:type="dxa"/>
              <w:bottom w:w="80" w:type="dxa"/>
              <w:left w:w="130" w:type="dxa"/>
              <w:right w:w="130" w:type="dxa"/>
            </w:tcMar>
          </w:tcPr>
          <w:p>
            <w:pPr>
              <w:jc w:val="center"/>
            </w:pPr>
            <w:r>
              <w:rPr>
                <w:rFonts w:ascii="Calibri" w:hAnsi="Calibri"/>
                <w:sz w:val="19"/>
              </w:rPr>
              <w:t>87.50%</w:t>
            </w:r>
          </w:p>
        </w:tc>
        <w:tc>
          <w:tcPr>
            <w:tcW w:type="dxa" w:w="2880"/>
            <w:shd w:fill="FFFFFF"/>
            <w:tcMar>
              <w:top w:w="80" w:type="dxa"/>
              <w:bottom w:w="80" w:type="dxa"/>
              <w:left w:w="130" w:type="dxa"/>
              <w:right w:w="130" w:type="dxa"/>
            </w:tcMar>
          </w:tcPr>
          <w:p>
            <w:pPr>
              <w:jc w:val="center"/>
            </w:pPr>
            <w:r>
              <w:rPr>
                <w:rFonts w:ascii="Calibri" w:hAnsi="Calibri"/>
                <w:sz w:val="19"/>
              </w:rPr>
              <w:t>Nhận diện chuẩn xác ý định gọi tool: Hủy đơn, Tra cứu, Hóa đơn</w:t>
            </w:r>
          </w:p>
        </w:tc>
      </w:tr>
    </w:tbl>
    <w:p>
      <w:pPr>
        <w:spacing w:after="160"/>
      </w:pPr>
    </w:p>
    <w:p>
      <w:pPr>
        <w:pStyle w:val="Heading1"/>
        <w:spacing w:before="280"/>
      </w:pPr>
      <w:r>
        <w:t>4. Tích hợp Hệ thống và Kiểm thử Hồi quy</w:t>
      </w:r>
    </w:p>
    <w:p>
      <w:r>
        <w:t>• Tích hợp Gateway Orchestrator: Gateway tự động kích hoạt OrderReActAgent bóc tách thực thể và thực thi tool tương ứng, nạp trực tiếp kết quả vào prompt sinh nháp của LLM.</w:t>
      </w:r>
    </w:p>
    <w:p>
      <w:r>
        <w:t>• Tích hợp UI Streamlit Workbench: Cột bên trái hiển thị hộp 'Thao tác Tool Calling thời gian thực' (tên tool, tham số, độ trễ và JSON kết quả); Tab 2 hiển thị Dashboard hiệu năng Cache (Hit Ratio, Hits, Misses, Cache Size).</w:t>
      </w:r>
    </w:p>
    <w:p>
      <w:r>
        <w:t>• Kiểm thử hồi quy: Toàn bộ 18 bài kiểm tra tự động (gồm 12 bài kiểm tra cũ của Module 1, 2 và 6 bài kiểm tra mới của Module 3) đều vượt qua 100% trong thời gian 0.19 giây.</w:t>
      </w:r>
    </w:p>
    <w:p>
      <w:r>
        <w:t>Hướng dẫn lệnh thực hiện:</w:t>
      </w:r>
    </w:p>
    <w:p>
      <w:r>
        <w:rPr>
          <w:rFonts w:ascii="Consolas" w:hAnsi="Consolas"/>
          <w:sz w:val="19"/>
        </w:rPr>
        <w:t>1. Chạy Benchmark Module 3:       python scripts/benchmark_module3.py</w:t>
        <w:br/>
      </w:r>
      <w:r>
        <w:rPr>
          <w:rFonts w:ascii="Consolas" w:hAnsi="Consolas"/>
          <w:sz w:val="19"/>
        </w:rPr>
        <w:t>2. Chạy toàn bộ 18 Unit Tests:      python -m unittest discover tests</w:t>
        <w:br/>
      </w:r>
      <w:r>
        <w:rPr>
          <w:rFonts w:ascii="Consolas" w:hAnsi="Consolas"/>
          <w:sz w:val="19"/>
        </w:rPr>
        <w:t>3. Khởi động hệ thống Copilot:      python run_dev.py</w:t>
      </w:r>
    </w:p>
    <w:p>
      <w:pPr>
        <w:pStyle w:val="Heading1"/>
        <w:spacing w:before="280"/>
      </w:pPr>
      <w:r>
        <w:t>5. Phần việc Tiếp theo</w:t>
      </w:r>
    </w:p>
    <w:p>
      <w:r>
        <w:t>1. Tích hợp Redis Cache phân tán: Mở rộng lớp OrderLRUCache bộ nhớ trong sang Redis khi triển khai hệ thống trên cụm Kubernetes nhiều container.</w:t>
      </w:r>
    </w:p>
    <w:p>
      <w:r>
        <w:t>2. Huấn luyện lại Intent Model tiếng Việt: Sử dụng tập dữ liệu Vietnamese-Customer-Support-QA để nâng cao độ chính xác nhận diện ý định tiếng Việt từ 10% lên trên 90%.</w:t>
      </w:r>
    </w:p>
    <w:p>
      <w:r>
        <w:t>3. Tích hợp Gemini Function Calling chính thức: Bật cờ gọi Tool tự động của Google Gemini 2.5 Flash khi cấu hình GEMINI_API_KEY trong môi trường Production.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