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mposite-2020-UK-Index-of-Multiple-Deprivation"/>
      <w:r>
        <w:t xml:space="preserve">Composite 2020 UK Index of Multiple Deprivation</w:t>
      </w:r>
      <w:bookmarkEnd w:id="20"/>
    </w:p>
    <w:p>
      <w:pPr>
        <w:pStyle w:val="FirstParagraph"/>
      </w:pPr>
      <w:r>
        <w:t xml:space="preserve">This repository uses methodology from a paper by</w:t>
      </w:r>
      <w:r>
        <w:t xml:space="preserve"> </w:t>
      </w:r>
      <w:hyperlink r:id="rId21">
        <w:r>
          <w:rPr>
            <w:rStyle w:val="Hyperlink"/>
          </w:rPr>
          <w:t xml:space="preserve">Gary A Abel, Matthew E Barclay, and Rupert A Payne</w:t>
        </w:r>
      </w:hyperlink>
      <w:r>
        <w:t xml:space="preserve"> </w:t>
      </w:r>
      <w:r>
        <w:t xml:space="preserve">to create a composite measure of multiple deprivation across the UK.</w:t>
      </w:r>
    </w:p>
    <w:p>
      <w:pPr>
        <w:pStyle w:val="BodyText"/>
      </w:pPr>
      <w:r>
        <w:t xml:space="preserve">The data can be downloaded from: https://mysociety.github.io/composite_uk_imd/</w:t>
      </w:r>
    </w:p>
    <w:p>
      <w:pPr>
        <w:pStyle w:val="BodyText"/>
      </w:pPr>
      <w:r>
        <w:t xml:space="preserve">Update 26/08/2022: A previous version of this dataset had incorrect rankings for Northern Ireland SOAs.</w:t>
      </w:r>
      <w:r>
        <w:t xml:space="preserve"> </w:t>
      </w:r>
      <w:hyperlink r:id="rId22">
        <w:r>
          <w:rPr>
            <w:rStyle w:val="Hyperlink"/>
          </w:rPr>
          <w:t xml:space="preserve">You can read a write-up of this error.</w:t>
        </w:r>
      </w:hyperlink>
    </w:p>
    <w:p>
      <w:pPr>
        <w:pStyle w:val="Heading2"/>
      </w:pPr>
      <w:bookmarkStart w:id="23" w:name="Using-this-dataset"/>
      <w:r>
        <w:t xml:space="preserve">Using this dataset</w:t>
      </w:r>
      <w:bookmarkEnd w:id="23"/>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4" w:name="Example-usage-of-different-kinds-of-deciles"/>
      <w:r>
        <w:t xml:space="preserve">Example usage of different kinds of deciles</w:t>
      </w:r>
      <w:bookmarkEnd w:id="24"/>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5" w:name="How-would-I-map-this-data---what-variable-should-I-use?"/>
      <w:r>
        <w:t xml:space="preserve">How would I map this data - what variable should I use?</w:t>
      </w:r>
      <w:bookmarkEnd w:id="25"/>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26">
        <w:r>
          <w:rPr>
            <w:rStyle w:val="Hyperlink"/>
          </w:rPr>
          <w:t xml:space="preserve">Alasdair Rae</w:t>
        </w:r>
      </w:hyperlink>
      <w:r>
        <w:t xml:space="preserve"> </w:t>
      </w:r>
      <w:r>
        <w:t xml:space="preserve">has created</w:t>
      </w:r>
      <w:r>
        <w:t xml:space="preserve"> </w:t>
      </w:r>
      <w:hyperlink r:id="rId27">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28" w:name="Interpreting-scores,-ranks,-deciles-and-quintiles"/>
      <w:r>
        <w:t xml:space="preserve">Interpreting scores, ranks, deciles and quintiles</w:t>
      </w:r>
      <w:bookmarkEnd w:id="28"/>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p>
      <w:pPr>
        <w:pStyle w:val="Heading2"/>
      </w:pPr>
      <w:bookmarkStart w:id="29" w:name="What-are-the-indexes-of-multiple-deprivation?"/>
      <w:r>
        <w:t xml:space="preserve">What are the indexes of multiple deprivation?</w:t>
      </w:r>
      <w:bookmarkEnd w:id="29"/>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p>
      <w:pPr>
        <w:pStyle w:val="Heading2"/>
      </w:pPr>
      <w:bookmarkStart w:id="30" w:name="Method"/>
      <w:r>
        <w:t xml:space="preserve">Method</w:t>
      </w:r>
      <w:bookmarkEnd w:id="30"/>
    </w:p>
    <w:p>
      <w:pPr>
        <w:pStyle w:val="FirstParagraph"/>
      </w:pPr>
      <w:r>
        <w:t xml:space="preserve">The method described by the</w:t>
      </w:r>
      <w:r>
        <w:t xml:space="preserve"> </w:t>
      </w:r>
      <w:hyperlink r:id="rId21">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1" w:name="How-is-this-getting-over-the-fundamental-issue-the-indexes-aren't-comparable?"/>
      <w:r>
        <w:t xml:space="preserve">How is this getting over the fundamental issue the indexes aren't comparable?</w:t>
      </w:r>
      <w:bookmarkEnd w:id="31"/>
    </w:p>
    <w:p>
      <w:pPr>
        <w:pStyle w:val="FirstParagraph"/>
      </w:pPr>
      <w:r>
        <w:t xml:space="preserve">This is a good question, and the answer is it does assume that actually the scores are roughtly compariable when you bundle them all up. As the</w:t>
      </w:r>
      <w:r>
        <w:t xml:space="preserve"> </w:t>
      </w:r>
      <w:hyperlink r:id="rId21">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2" w:name="Why-would-it-not-be-reasonable?"/>
      <w:r>
        <w:t xml:space="preserve">Why would it not be reasonable?</w:t>
      </w:r>
      <w:bookmarkEnd w:id="32"/>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3" w:name="Why-is-it-probably-OK-anyway?"/>
      <w:r>
        <w:t xml:space="preserve">Why is it probably OK anyway?</w:t>
      </w:r>
      <w:bookmarkEnd w:id="33"/>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34" w:name="When-would-I-want-to-use-the-composite-index?"/>
      <w:r>
        <w:t xml:space="preserve">When would I want to use the composite index?</w:t>
      </w:r>
      <w:bookmarkEnd w:id="34"/>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35" w:name="Why-not-just-build-a-proper-UK-index?"/>
      <w:r>
        <w:t xml:space="preserve">Why not just build a proper UK index?</w:t>
      </w:r>
      <w:bookmarkEnd w:id="35"/>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36" w:name="What-options-are-available"/>
      <w:r>
        <w:t xml:space="preserve">What options are available</w:t>
      </w:r>
      <w:bookmarkEnd w:id="36"/>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p>
      <w:pPr>
        <w:pStyle w:val="Heading2"/>
      </w:pPr>
      <w:bookmarkStart w:id="37" w:name="Data-analysis"/>
      <w:r>
        <w:t xml:space="preserve">Data analysis</w:t>
      </w:r>
      <w:bookmarkEnd w:id="37"/>
    </w:p>
    <w:p>
      <w:pPr>
        <w:pStyle w:val="Heading3"/>
      </w:pPr>
      <w:bookmarkStart w:id="38" w:name="Regression-models"/>
      <w:r>
        <w:t xml:space="preserve">Regression models</w:t>
      </w:r>
      <w:bookmarkEnd w:id="38"/>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39" w:name="UK-models"/>
      <w:r>
        <w:t xml:space="preserve">UK models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p>
      <w:pPr>
        <w:pStyle w:val="Heading4"/>
      </w:pPr>
      <w:bookmarkStart w:id="40" w:name="GB-Models"/>
      <w:r>
        <w:t xml:space="preserve">GB Models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p>
      <w:pPr>
        <w:pStyle w:val="Heading3"/>
      </w:pPr>
      <w:bookmarkStart w:id="41" w:name="Rank-intergrity-is-not-preserved"/>
      <w:r>
        <w:t xml:space="preserve">Rank intergrity is not preserved</w:t>
      </w:r>
      <w:bookmarkEnd w:id="41"/>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p>
      <w:pPr>
        <w:pStyle w:val="Heading4"/>
      </w:pPr>
      <w:bookmarkStart w:id="42" w:name="UK-rank-displacement-(England-based)"/>
      <w:r>
        <w:t xml:space="preserve">UK rank displacement (England based)</w:t>
      </w:r>
      <w:bookmarkEnd w:id="42"/>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p>
      <w:pPr>
        <w:pStyle w:val="Heading4"/>
      </w:pPr>
      <w:bookmarkStart w:id="43" w:name="GB-rank-displacement-(England-based)"/>
      <w:r>
        <w:t xml:space="preserve">GB rank displacement (England based)</w:t>
      </w:r>
      <w:bookmarkEnd w:id="43"/>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p>
      <w:pPr>
        <w:pStyle w:val="Heading3"/>
      </w:pPr>
      <w:bookmarkStart w:id="44" w:name="Deprivation-distribution"/>
      <w:r>
        <w:t xml:space="preserve">Deprivation distribution</w:t>
      </w:r>
      <w:bookmarkEnd w:id="44"/>
    </w:p>
    <w:p>
      <w:pPr>
        <w:pStyle w:val="FirstParagraph"/>
      </w:pPr>
      <w:r>
        <w:t xml:space="preserve">The following table and graph show the distribution of the population by nation and UK IMD decile (England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p>
      <w:pPr>
        <w:pStyle w:val="Compact"/>
      </w:pPr>
      <w:r>
        <w:drawing>
          <wp:inline>
            <wp:extent cx="5943600" cy="4300976"/>
            <wp:effectExtent b="0" l="0" r="0" t="0"/>
            <wp:docPr descr=""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45"/>
                    <a:stretch>
                      <a:fillRect/>
                    </a:stretch>
                  </pic:blipFill>
                  <pic:spPr bwMode="auto">
                    <a:xfrm>
                      <a:off x="0" y="0"/>
                      <a:ext cx="5943600" cy="4300976"/>
                    </a:xfrm>
                    <a:prstGeom prst="rect">
                      <a:avLst/>
                    </a:prstGeom>
                    <a:noFill/>
                    <a:ln w="9525">
                      <a:noFill/>
                      <a:headEnd/>
                      <a:tailEnd/>
                    </a:ln>
                  </pic:spPr>
                </pic:pic>
              </a:graphicData>
            </a:graphic>
          </wp:inline>
        </w:drawing>
      </w:r>
    </w:p>
    <w:p>
      <w:pPr>
        <w:pStyle w:val="Heading1"/>
      </w:pPr>
      <w:bookmarkStart w:id="46" w:name="National-composition-of-each-decile"/>
      <w:r>
        <w:t xml:space="preserve">National composition of each decile</w:t>
      </w:r>
      <w:bookmarkEnd w:id="46"/>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47"/>
                    <a:stretch>
                      <a:fillRect/>
                    </a:stretch>
                  </pic:blipFill>
                  <pic:spPr bwMode="auto">
                    <a:xfrm>
                      <a:off x="0" y="0"/>
                      <a:ext cx="5943600" cy="2254733"/>
                    </a:xfrm>
                    <a:prstGeom prst="rect">
                      <a:avLst/>
                    </a:prstGeom>
                    <a:noFill/>
                    <a:ln w="9525">
                      <a:noFill/>
                      <a:headEnd/>
                      <a:tailEnd/>
                    </a:ln>
                  </pic:spPr>
                </pic:pic>
              </a:graphicData>
            </a:graphic>
          </wp:inline>
        </w:drawing>
      </w:r>
    </w:p>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p>
      <w:pPr>
        <w:pStyle w:val="Heading3"/>
      </w:pPr>
      <w:bookmarkStart w:id="48" w:name="Comparison-of-different-national-base-population-deciles"/>
      <w:r>
        <w:t xml:space="preserve">Comparison of different national base population deciles</w:t>
      </w:r>
      <w:bookmarkEnd w:id="48"/>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p>
      <w:pPr>
        <w:pStyle w:val="Heading2"/>
      </w:pPr>
      <w:bookmarkStart w:id="49" w:name="Data-sources"/>
      <w:r>
        <w:t xml:space="preserve">Data sources</w:t>
      </w:r>
      <w:bookmarkEnd w:id="49"/>
    </w:p>
    <w:p>
      <w:pPr>
        <w:pStyle w:val="Compact"/>
        <w:numPr>
          <w:numId w:val="1005"/>
          <w:ilvl w:val="0"/>
        </w:numPr>
      </w:pPr>
      <w:hyperlink r:id="rId50">
        <w:r>
          <w:rPr>
            <w:rStyle w:val="Hyperlink"/>
          </w:rPr>
          <w:t xml:space="preserve">English Index of Multiple Deprivation 2019</w:t>
        </w:r>
      </w:hyperlink>
    </w:p>
    <w:p>
      <w:pPr>
        <w:pStyle w:val="Compact"/>
        <w:numPr>
          <w:numId w:val="1005"/>
          <w:ilvl w:val="0"/>
        </w:numPr>
      </w:pPr>
      <w:hyperlink r:id="rId51">
        <w:r>
          <w:rPr>
            <w:rStyle w:val="Hyperlink"/>
          </w:rPr>
          <w:t xml:space="preserve">Scottish Index of Multiple Deprivation 2020</w:t>
        </w:r>
      </w:hyperlink>
    </w:p>
    <w:p>
      <w:pPr>
        <w:pStyle w:val="Compact"/>
        <w:numPr>
          <w:numId w:val="1005"/>
          <w:ilvl w:val="0"/>
        </w:numPr>
      </w:pPr>
      <w:hyperlink r:id="rId52">
        <w:r>
          <w:rPr>
            <w:rStyle w:val="Hyperlink"/>
          </w:rPr>
          <w:t xml:space="preserve">Welsh Index of Multiple Deprivation (WIMD) 2019</w:t>
        </w:r>
      </w:hyperlink>
    </w:p>
    <w:p>
      <w:pPr>
        <w:pStyle w:val="Compact"/>
        <w:numPr>
          <w:numId w:val="1005"/>
          <w:ilvl w:val="0"/>
        </w:numPr>
      </w:pPr>
      <w:hyperlink r:id="rId53">
        <w:r>
          <w:rPr>
            <w:rStyle w:val="Hyperlink"/>
          </w:rPr>
          <w:t xml:space="preserve">Northern Ireland Multiple Deprivation Measures (NIMDM) 2017</w:t>
        </w:r>
      </w:hyperlink>
    </w:p>
    <w:p>
      <w:pPr>
        <w:pStyle w:val="Compact"/>
        <w:numPr>
          <w:numId w:val="1005"/>
          <w:ilvl w:val="0"/>
        </w:numPr>
      </w:pPr>
      <w:hyperlink r:id="rId54">
        <w:r>
          <w:rPr>
            <w:rStyle w:val="Hyperlink"/>
          </w:rPr>
          <w:t xml:space="preserve">ONS 2019 population estimates</w:t>
        </w:r>
      </w:hyperlink>
    </w:p>
    <w:p>
      <w:pPr>
        <w:pStyle w:val="Compact"/>
        <w:numPr>
          <w:numId w:val="1005"/>
          <w:ilvl w:val="0"/>
        </w:numPr>
      </w:pPr>
      <w:hyperlink r:id="rId55">
        <w:r>
          <w:rPr>
            <w:rStyle w:val="Hyperlink"/>
          </w:rPr>
          <w:t xml:space="preserve">National Records Scotland 2019 Population Estimates</w:t>
        </w:r>
      </w:hyperlink>
    </w:p>
    <w:p>
      <w:pPr>
        <w:pStyle w:val="Compact"/>
        <w:numPr>
          <w:numId w:val="1005"/>
          <w:ilvl w:val="0"/>
        </w:numPr>
      </w:pPr>
      <w:hyperlink r:id="rId56">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57" w:name="National-domain-weights"/>
      <w:r>
        <w:t xml:space="preserve">National domain weights</w:t>
      </w:r>
      <w:bookmarkEnd w:id="57"/>
    </w:p>
    <w:p>
      <w:pPr>
        <w:pStyle w:val="FirstParagraph"/>
      </w:pPr>
      <w:r>
        <w:t xml:space="preserve">| Domain weights | NI | E | S | W |</w:t>
      </w:r>
      <w:r>
        <w:t xml:space="preserve"> </w:t>
      </w:r>
      <w:r>
        <w:t xml:space="preserve">|----------------------------------------------------|----|------|----|----|</w:t>
      </w:r>
      <w:r>
        <w:t xml:space="preserve"> </w:t>
      </w:r>
      <w:r>
        <w:t xml:space="preserve">| Income | 25 | 22.5 | 28 | 22 |</w:t>
      </w:r>
      <w:r>
        <w:t xml:space="preserve"> </w:t>
      </w:r>
      <w:r>
        <w:t xml:space="preserve">| Employment | 25 | 22.5 | 28 | 22 |</w:t>
      </w:r>
      <w:r>
        <w:t xml:space="preserve"> </w:t>
      </w:r>
      <w:r>
        <w:t xml:space="preserve">| Health deprivation | 15 | 13.5 | 14 | 15 |</w:t>
      </w:r>
      <w:r>
        <w:t xml:space="preserve"> </w:t>
      </w:r>
      <w:r>
        <w:t xml:space="preserve">| Education, skills and training | 15 | 13.5 | 14 | 14 |</w:t>
      </w:r>
      <w:r>
        <w:t xml:space="preserve"> </w:t>
      </w:r>
      <w:r>
        <w:t xml:space="preserve">| Crime and disorder / Community Safety | 5 | 9.3 | 5 | 5 |</w:t>
      </w:r>
      <w:r>
        <w:t xml:space="preserve"> </w:t>
      </w:r>
      <w:r>
        <w:t xml:space="preserve">| Barriers to housing and services | - | 9.3 | - | |</w:t>
      </w:r>
      <w:r>
        <w:t xml:space="preserve"> </w:t>
      </w:r>
      <w:r>
        <w:t xml:space="preserve">| Access to services / Geographic access to services | 10 | - | 9 | 10 |</w:t>
      </w:r>
      <w:r>
        <w:t xml:space="preserve"> </w:t>
      </w:r>
      <w:r>
        <w:t xml:space="preserve">| Living Environment | 5 | 9.3 | - | - |</w:t>
      </w:r>
      <w:r>
        <w:t xml:space="preserve"> </w:t>
      </w:r>
      <w:r>
        <w:t xml:space="preserve">| Physical Environment | - | - | - | 5 |</w:t>
      </w:r>
      <w:r>
        <w:t xml:space="preserve"> </w:t>
      </w:r>
      <w:r>
        <w:t xml:space="preserve">| Housing | - | - | 2 | 7 |</w:t>
      </w:r>
    </w:p>
    <w:p>
      <w:pPr>
        <w:pStyle w:val="Heading2"/>
      </w:pPr>
      <w:bookmarkStart w:id="58" w:name="Differences-between-different-domains"/>
      <w:r>
        <w:t xml:space="preserve">Differences between different domains</w:t>
      </w:r>
      <w:bookmarkEnd w:id="58"/>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59" w:name="Benefits-used-to-generate-Income-and-Employment-domains"/>
      <w:r>
        <w:t xml:space="preserve">Benefits used to generate Income and Employment domains</w:t>
      </w:r>
      <w:bookmarkEnd w:id="59"/>
    </w:p>
    <w:p>
      <w:pPr>
        <w:pStyle w:val="Heading4"/>
      </w:pPr>
      <w:bookmarkStart w:id="60" w:name="Income"/>
      <w:r>
        <w:t xml:space="preserve">Income</w:t>
      </w:r>
      <w:bookmarkEnd w:id="60"/>
    </w:p>
    <w:p>
      <w:pPr>
        <w:pStyle w:val="FirstParagraph"/>
      </w:pPr>
      <w:r>
        <w:t xml:space="preserve">| Benefit | England | Scotland | Wales |</w:t>
      </w:r>
      <w:r>
        <w:t xml:space="preserve"> </w:t>
      </w:r>
      <w:r>
        <w:t xml:space="preserve">|------------------------------------------------------------|---------|----------|-------|</w:t>
      </w:r>
      <w:r>
        <w:t xml:space="preserve"> </w:t>
      </w:r>
      <w:r>
        <w:t xml:space="preserve">| Jobseeker’s Allowance | yes | yes | yes |</w:t>
      </w:r>
      <w:r>
        <w:t xml:space="preserve"> </w:t>
      </w:r>
      <w:r>
        <w:t xml:space="preserve">| Employment and Support Allowance | yes | yes | yes |</w:t>
      </w:r>
      <w:r>
        <w:t xml:space="preserve"> </w:t>
      </w:r>
      <w:r>
        <w:t xml:space="preserve">| Pension Credit | yes | yes | yes |</w:t>
      </w:r>
      <w:r>
        <w:t xml:space="preserve"> </w:t>
      </w:r>
      <w:r>
        <w:t xml:space="preserve">| Universal Credit (excluding 'Working - no requirements') | yes | yes | yes |</w:t>
      </w:r>
      <w:r>
        <w:t xml:space="preserve"> </w:t>
      </w:r>
      <w:r>
        <w:t xml:space="preserve">| Working Tax Credit | yes | yes | yes |</w:t>
      </w:r>
      <w:r>
        <w:t xml:space="preserve"> </w:t>
      </w:r>
      <w:r>
        <w:t xml:space="preserve">| Child Tax Credit | yes | yes | yes |</w:t>
      </w:r>
      <w:r>
        <w:t xml:space="preserve"> </w:t>
      </w:r>
      <w:r>
        <w:t xml:space="preserve">| Supported Asylum seekers | yes | | yes |</w:t>
      </w:r>
      <w:r>
        <w:t xml:space="preserve"> </w:t>
      </w:r>
      <w:r>
        <w:t xml:space="preserve">| Income Support | yes | yes | yes |</w:t>
      </w:r>
    </w:p>
    <w:p>
      <w:pPr>
        <w:pStyle w:val="Heading4"/>
      </w:pPr>
      <w:bookmarkStart w:id="61" w:name="Employment"/>
      <w:r>
        <w:t xml:space="preserve">Employment</w:t>
      </w:r>
      <w:bookmarkEnd w:id="61"/>
    </w:p>
    <w:p>
      <w:pPr>
        <w:pStyle w:val="FirstParagraph"/>
      </w:pPr>
      <w:r>
        <w:t xml:space="preserve">| Benefit | England | Scotland | Wales | Northern Ireland |</w:t>
      </w:r>
      <w:r>
        <w:t xml:space="preserve"> </w:t>
      </w:r>
      <w:r>
        <w:t xml:space="preserve">|--------------------------------------------------------------------|---------|----------|-------|------------------|</w:t>
      </w:r>
      <w:r>
        <w:t xml:space="preserve"> </w:t>
      </w:r>
      <w:r>
        <w:t xml:space="preserve">| Jobseeker’s Allowance (contrib + income) | yes | yes | yes | yes |</w:t>
      </w:r>
      <w:r>
        <w:t xml:space="preserve"> </w:t>
      </w:r>
      <w:r>
        <w:t xml:space="preserve">| Employment and Support Allowance (contrib + income) | yes | yes | yes | yes |</w:t>
      </w:r>
      <w:r>
        <w:t xml:space="preserve"> </w:t>
      </w:r>
      <w:r>
        <w:t xml:space="preserve">| Incapacity Benefit | yes | yes | yes | yes |</w:t>
      </w:r>
      <w:r>
        <w:t xml:space="preserve"> </w:t>
      </w:r>
      <w:r>
        <w:t xml:space="preserve">| Carer’s Allowance | yes | | | yes |</w:t>
      </w:r>
      <w:r>
        <w:t xml:space="preserve"> </w:t>
      </w:r>
      <w:r>
        <w:t xml:space="preserve">| Severe Disablement Allowance | | yes | | yes |</w:t>
      </w:r>
      <w:r>
        <w:t xml:space="preserve"> </w:t>
      </w:r>
      <w:r>
        <w:t xml:space="preserve">| Universal Credit - 'Searching for work', 'No work requirements' | yes | yes | yes | |</w:t>
      </w:r>
    </w:p>
    <w:p>
      <w:pPr>
        <w:pStyle w:val="Heading2"/>
      </w:pPr>
      <w:bookmarkStart w:id="62" w:name="Generating-index"/>
      <w:r>
        <w:t xml:space="preserve">Generating index</w:t>
      </w:r>
      <w:bookmarkEnd w:id="62"/>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63" w:name="Maintenance"/>
      <w:r>
        <w:t xml:space="preserve">Maintenance</w:t>
      </w:r>
      <w:bookmarkEnd w:id="63"/>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p>
      <w:pPr>
        <w:pStyle w:val="Heading2"/>
      </w:pPr>
      <w:bookmarkStart w:id="64" w:name="Licencing"/>
      <w:r>
        <w:t xml:space="preserve">Licencing</w:t>
      </w:r>
      <w:bookmarkEnd w:id="64"/>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65">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66" w:name="Citation"/>
      <w:r>
        <w:t xml:space="preserve">Citation</w:t>
      </w:r>
      <w:bookmarkEnd w:id="66"/>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21" Target="https://bmjopen.bmj.com/content/6/11/e012750" TargetMode="External" /><Relationship Type="http://schemas.openxmlformats.org/officeDocument/2006/relationships/hyperlink" Id="rId65" Target="https://creativecommons.org/licenses/by/4.0/" TargetMode="External" /><Relationship Type="http://schemas.openxmlformats.org/officeDocument/2006/relationships/hyperlink" Id="rId27" Target="https://drive.google.com/drive/folders/1L-C-Ym7VTwRhIRDQUMHPxFvOznMrKfy3" TargetMode="External" /><Relationship Type="http://schemas.openxmlformats.org/officeDocument/2006/relationships/hyperlink" Id="rId52" Target="https://gov.wales/welsh-index-multiple-deprivation-full-index-update-ranks-2019" TargetMode="External" /><Relationship Type="http://schemas.openxmlformats.org/officeDocument/2006/relationships/hyperlink" Id="rId22" Target="https://mysociety.github.io/composite_uk_imd/analysis/v1_uk_index_error_analysis.html" TargetMode="External" /><Relationship Type="http://schemas.openxmlformats.org/officeDocument/2006/relationships/hyperlink" Id="rId26" Target="https://twitter.com/undertheraedar" TargetMode="External" /><Relationship Type="http://schemas.openxmlformats.org/officeDocument/2006/relationships/hyperlink" Id="rId51" Target="https://www.gov.scot/collections/scottish-index-of-multiple-deprivation-2020/" TargetMode="External" /><Relationship Type="http://schemas.openxmlformats.org/officeDocument/2006/relationships/hyperlink" Id="rId50" Target="https://www.gov.uk/government/statistics/english-indices-of-deprivation-2019" TargetMode="External" /><Relationship Type="http://schemas.openxmlformats.org/officeDocument/2006/relationships/hyperlink" Id="rId56" Target="https://www.nisra.gov.uk/publications/2019-mid-year-population-estimates-northern-ireland" TargetMode="External" /><Relationship Type="http://schemas.openxmlformats.org/officeDocument/2006/relationships/hyperlink" Id="rId53" Target="https://www.nisra.gov.uk/statistics/deprivation/northern-ireland-multiple-deprivation-measure-2017-nimdm2017" TargetMode="External" /><Relationship Type="http://schemas.openxmlformats.org/officeDocument/2006/relationships/hyperlink" Id="rId55" Target="https://www.nrscotland.gov.uk/statistics-and-data/statistics/statistics-by-theme/population/population-estimates" TargetMode="External" /><Relationship Type="http://schemas.openxmlformats.org/officeDocument/2006/relationships/hyperlink" Id="rId54"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1" Target="https://bmjopen.bmj.com/content/6/11/e012750" TargetMode="External" /><Relationship Type="http://schemas.openxmlformats.org/officeDocument/2006/relationships/hyperlink" Id="rId65" Target="https://creativecommons.org/licenses/by/4.0/" TargetMode="External" /><Relationship Type="http://schemas.openxmlformats.org/officeDocument/2006/relationships/hyperlink" Id="rId27" Target="https://drive.google.com/drive/folders/1L-C-Ym7VTwRhIRDQUMHPxFvOznMrKfy3" TargetMode="External" /><Relationship Type="http://schemas.openxmlformats.org/officeDocument/2006/relationships/hyperlink" Id="rId52" Target="https://gov.wales/welsh-index-multiple-deprivation-full-index-update-ranks-2019" TargetMode="External" /><Relationship Type="http://schemas.openxmlformats.org/officeDocument/2006/relationships/hyperlink" Id="rId22" Target="https://mysociety.github.io/composite_uk_imd/analysis/v1_uk_index_error_analysis.html" TargetMode="External" /><Relationship Type="http://schemas.openxmlformats.org/officeDocument/2006/relationships/hyperlink" Id="rId26" Target="https://twitter.com/undertheraedar" TargetMode="External" /><Relationship Type="http://schemas.openxmlformats.org/officeDocument/2006/relationships/hyperlink" Id="rId51" Target="https://www.gov.scot/collections/scottish-index-of-multiple-deprivation-2020/" TargetMode="External" /><Relationship Type="http://schemas.openxmlformats.org/officeDocument/2006/relationships/hyperlink" Id="rId50" Target="https://www.gov.uk/government/statistics/english-indices-of-deprivation-2019" TargetMode="External" /><Relationship Type="http://schemas.openxmlformats.org/officeDocument/2006/relationships/hyperlink" Id="rId56" Target="https://www.nisra.gov.uk/publications/2019-mid-year-population-estimates-northern-ireland" TargetMode="External" /><Relationship Type="http://schemas.openxmlformats.org/officeDocument/2006/relationships/hyperlink" Id="rId53" Target="https://www.nisra.gov.uk/statistics/deprivation/northern-ireland-multiple-deprivation-measure-2017-nimdm2017" TargetMode="External" /><Relationship Type="http://schemas.openxmlformats.org/officeDocument/2006/relationships/hyperlink" Id="rId55" Target="https://www.nrscotland.gov.uk/statistics-and-data/statistics/statistics-by-theme/population/population-estimates" TargetMode="External" /><Relationship Type="http://schemas.openxmlformats.org/officeDocument/2006/relationships/hyperlink" Id="rId54"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2022-09-13T11:24:04Z</dcterms:created>
  <dcterms:modified xsi:type="dcterms:W3CDTF">2022-09-13T11:24:04Z</dcterms:modified>
</cp:coreProperties>
</file>