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工具使用详情</w:t>
      </w:r>
    </w:p>
    <w:p>
      <w:pPr>
        <w:keepLines/>
        <w:spacing w:after="160"/>
        <w:jc w:val="center"/>
      </w:pPr>
      <w:r>
        <w:t>2026 年全国大学生数学建模竞赛 B 题</w:t>
        <w:br/>
        <w:t>无线电干扰源的快速自动定位与清除</w:t>
      </w:r>
    </w:p>
    <w:p>
      <w:pPr>
        <w:pStyle w:val="Heading1"/>
      </w:pPr>
      <w:r>
        <w:t>一、AI 工具基本信息</w:t>
      </w:r>
    </w:p>
    <w:p>
      <w:pPr>
        <w:keepLines/>
        <w:jc w:val="both"/>
      </w:pPr>
      <w:r>
        <w:t>本参赛队在本次竞赛过程中使用了以下人工智能工具。所列用途包括方案探索、程序实现和文稿整理，不限于最终论文采用的内容。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3402"/>
        <w:gridCol w:w="4394"/>
      </w:tblGrid>
      <w:tr>
        <w:trPr>
          <w:cantSplit/>
          <w:tblHeader/>
        </w:trPr>
        <w:tc>
          <w:tcPr>
            <w:tcW w:type="dxa" w:w="133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shd w:fill="F2F2F2"/>
          </w:tcPr>
          <w:p>
            <w:pPr>
              <w:keepLines/>
              <w:spacing w:line="340" w:lineRule="exact" w:before="0" w:after="0"/>
            </w:pPr>
            <w:r>
              <w:rPr>
                <w:b/>
                <w:sz w:val="24"/>
              </w:rPr>
              <w:t>AI 工具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shd w:fill="F2F2F2"/>
          </w:tcPr>
          <w:p>
            <w:pPr>
              <w:keepLines/>
              <w:spacing w:line="340" w:lineRule="exact" w:before="0" w:after="0"/>
            </w:pPr>
            <w:r>
              <w:rPr>
                <w:b/>
                <w:sz w:val="24"/>
              </w:rPr>
              <w:t>版本／型号及使用时间</w:t>
            </w:r>
          </w:p>
        </w:tc>
        <w:tc>
          <w:tcPr>
            <w:tcW w:type="dxa" w:w="43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  <w:shd w:fill="F2F2F2"/>
          </w:tcPr>
          <w:p>
            <w:pPr>
              <w:keepLines/>
              <w:spacing w:line="340" w:lineRule="exact" w:before="0" w:after="0"/>
            </w:pPr>
            <w:r>
              <w:rPr>
                <w:b/>
                <w:sz w:val="24"/>
              </w:rPr>
              <w:t>主要用途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ChatGPT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GPT-6（原表所填）；</w:t>
              <w:br/>
              <w:t>网页版，2026 年 9 月</w:t>
            </w:r>
          </w:p>
        </w:tc>
        <w:tc>
          <w:tcPr>
            <w:tcW w:type="dxa" w:w="43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方法讨论、推导与代码检查、结果分析、文稿起草和润色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Codex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本地工具，2026 年 9 月；</w:t>
              <w:br/>
              <w:t>具体版本及底层模型未确认</w:t>
            </w:r>
          </w:p>
        </w:tc>
        <w:tc>
          <w:tcPr>
            <w:tcW w:type="dxa" w:w="43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算法与实验平台代码生成、修改、调试、测试及批量实验辅助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Cursor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2026 年 9 月使用；</w:t>
              <w:br/>
              <w:t>软件版本及调用模型未确认</w:t>
            </w:r>
          </w:p>
        </w:tc>
        <w:tc>
          <w:tcPr>
            <w:tcW w:type="dxa" w:w="43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top w:val="single" w:sz="4" w:color="B0B0B0"/>
              <w:bottom w:val="single" w:sz="4" w:color="B0B0B0"/>
              <w:left w:val="single" w:sz="4" w:color="B0B0B0"/>
              <w:right w:val="single" w:sz="4" w:color="B0B0B0"/>
            </w:tcBorders>
          </w:tcPr>
          <w:p>
            <w:pPr>
              <w:keepLines/>
              <w:spacing w:line="340" w:lineRule="exact" w:before="0" w:after="0"/>
            </w:pPr>
            <w:r>
              <w:rPr>
                <w:b w:val="0"/>
                <w:sz w:val="24"/>
              </w:rPr>
              <w:t>技术性研讨、程序辅助与调试（按原表记录）</w:t>
            </w:r>
          </w:p>
        </w:tc>
      </w:tr>
    </w:tbl>
    <w:p>
      <w:pPr>
        <w:keepLines/>
        <w:jc w:val="both"/>
      </w:pPr>
      <w:r>
        <w:t>说明：ChatGPT 型号和 Cursor 用途沿用原表记录；Codex 依据本次项目交流补充。未确认的版本不作推测。下文提示按交流内容归纳，不作为逐字交互日志；记录不足的项目另行标明。</w:t>
      </w:r>
    </w:p>
    <w:p>
      <w:pPr>
        <w:pStyle w:val="Heading1"/>
      </w:pPr>
      <w:r>
        <w:t>二、AI 工具的具体使用情况</w:t>
      </w:r>
    </w:p>
    <w:p>
      <w:pPr>
        <w:pStyle w:val="Heading2"/>
      </w:pPr>
      <w:r>
        <w:t>1. 文献、方法及建模思路辅助</w:t>
      </w:r>
    </w:p>
    <w:p>
      <w:pPr>
        <w:keepLines/>
        <w:jc w:val="both"/>
      </w:pPr>
      <w:r>
        <w:rPr>
          <w:b/>
        </w:rPr>
        <w:t>使用目的：</w:t>
      </w:r>
      <w:r>
        <w:t>辅助阅读所提供文献并讨论各题方案。问题一涉及示向误差下的半平面交会、区域直径与最小包围圆；问题二涉及检测范围约束和下一检测点选择；问题三、四涉及搜索—定位—清除决策、候选点生成、贝叶斯信念更新和蒙特卡洛策略比较。</w:t>
      </w:r>
    </w:p>
    <w:p>
      <w:pPr>
        <w:keepLines/>
        <w:jc w:val="both"/>
      </w:pPr>
      <w:r>
        <w:rPr>
          <w:b/>
        </w:rPr>
        <w:t>典型提示方式：</w:t>
      </w:r>
      <w:r>
        <w:t>在示向误差为 ±1° 的条件下，如何用半平面构造交会定位区域？问题二能否先利用检测距离限制可行区域，再选择下一检测点？请比较方案并说明适用条件。</w:t>
      </w:r>
    </w:p>
    <w:p>
      <w:pPr>
        <w:keepLines/>
        <w:jc w:val="both"/>
      </w:pPr>
      <w:r>
        <w:rPr>
          <w:b/>
        </w:rPr>
        <w:t>AI 输出的处理：</w:t>
      </w:r>
      <w:r>
        <w:t>AI 提供候选方法、推导思路和方案比较，参赛队据此继续讨论并提出修改要求。讨论过的方案不等于最终采用方案；具体取舍以论文和对应实现为准，独立方案与队友方案的实现及实验结果分别记录。</w:t>
      </w:r>
    </w:p>
    <w:p>
      <w:pPr>
        <w:pStyle w:val="Heading2"/>
        <w:pageBreakBefore/>
      </w:pPr>
      <w:r>
        <w:t>2. 数学推导和公式检查</w:t>
      </w:r>
    </w:p>
    <w:p>
      <w:pPr>
        <w:keepLines/>
        <w:jc w:val="both"/>
      </w:pPr>
      <w:r>
        <w:rPr>
          <w:b/>
        </w:rPr>
        <w:t>使用目的：</w:t>
      </w:r>
      <w:r>
        <w:t>辅助推导与检查角度约束、半平面不等号、空集和无界区域识别，讨论区域直径与包围圆的关系，以及动态搜索中的清除和终止条件。</w:t>
      </w:r>
    </w:p>
    <w:p>
      <w:pPr>
        <w:keepLines/>
        <w:jc w:val="both"/>
      </w:pPr>
      <w:r>
        <w:rPr>
          <w:b/>
        </w:rPr>
        <w:t>典型提示方式：</w:t>
      </w:r>
      <w:r>
        <w:t>请检查交会定位模型及其推导：是否遗漏空集、无界或退化情况？区域直径为 D，是否必然存在半径 D/2 的圆覆盖整个区域？请给出依据或反例。</w:t>
      </w:r>
    </w:p>
    <w:p>
      <w:pPr>
        <w:keepLines/>
        <w:jc w:val="both"/>
      </w:pPr>
      <w:r>
        <w:rPr>
          <w:b/>
        </w:rPr>
        <w:t>AI 输出的处理：</w:t>
      </w:r>
      <w:r>
        <w:t>所提供的问题一稿件将区域直径和最小包围圆分别计算，并设置覆盖判据。AI 给出的证明、反例及修订意见需与题目假设和实现对应；最终公式及容差处理由参赛队负责核定，不能仅凭 AI 的肯定回答认定正确。</w:t>
      </w:r>
    </w:p>
    <w:p>
      <w:pPr>
        <w:pStyle w:val="Heading2"/>
      </w:pPr>
      <w:r>
        <w:t>3. 程序编写及调试</w:t>
      </w:r>
    </w:p>
    <w:p>
      <w:pPr>
        <w:keepLines/>
        <w:jc w:val="both"/>
      </w:pPr>
      <w:r>
        <w:rPr>
          <w:b/>
        </w:rPr>
        <w:t>使用目的：</w:t>
      </w:r>
      <w:r>
        <w:t>使用 AI 辅助生成、修改和调试 Python 程序，内容包括几何求解、候选点和动作评分、独立仿真平台、单元测试、日志、参数扫描及并行实验脚本。</w:t>
      </w:r>
    </w:p>
    <w:p>
      <w:pPr>
        <w:keepLines/>
        <w:jc w:val="both"/>
      </w:pPr>
      <w:r>
        <w:rPr>
          <w:b/>
        </w:rPr>
        <w:t>典型提示方式：</w:t>
      </w:r>
      <w:r>
        <w:t>按已讨论的搜索—定位—清除流程实现可比较策略的实验平台，保留参数扫描接口。发现失败测试时，请定位原因并给出修复及回归测试；不得为通过测试而降低数学正确性或改变题目约束。</w:t>
      </w:r>
    </w:p>
    <w:p>
      <w:pPr>
        <w:keepLines/>
        <w:jc w:val="both"/>
      </w:pPr>
      <w:r>
        <w:rPr>
          <w:b/>
        </w:rPr>
        <w:t>AI 输出的处理：</w:t>
      </w:r>
      <w:r>
        <w:t>参赛队多次提供代码包和运行报告进行复查，并提出迭代要求。代码修改是否生效、测试是否通过，以对应版本和实际日志为依据；AI 自动运行测试不等同于人工逐项审查，尚未确认的修复不记为已完成。</w:t>
      </w:r>
    </w:p>
    <w:p>
      <w:pPr>
        <w:pStyle w:val="Heading2"/>
      </w:pPr>
      <w:r>
        <w:t>4. 数据分析与结果检查</w:t>
      </w:r>
    </w:p>
    <w:p>
      <w:pPr>
        <w:keepLines/>
        <w:jc w:val="both"/>
      </w:pPr>
      <w:r>
        <w:rPr>
          <w:b/>
        </w:rPr>
        <w:t>使用目的：</w:t>
      </w:r>
      <w:r>
        <w:t>辅助检查仿真完成率、平均任务时间、策略差值及置信区间，排查统计口径、重复场景、终止状态和日志解释中的问题。</w:t>
      </w:r>
    </w:p>
    <w:p>
      <w:pPr>
        <w:keepLines/>
        <w:jc w:val="both"/>
      </w:pPr>
      <w:r>
        <w:rPr>
          <w:b/>
        </w:rPr>
        <w:t>典型提示方式：</w:t>
      </w:r>
      <w:r>
        <w:t>请根据所附代码、逐场景结果和日志，检查新策略的耗时变化是否可信；重点核对配对场景、任务是否完成、异常样本及置信区间，不只依据汇总报告判断。</w:t>
      </w:r>
    </w:p>
    <w:p>
      <w:pPr>
        <w:keepLines/>
        <w:jc w:val="both"/>
      </w:pPr>
      <w:r>
        <w:rPr>
          <w:b/>
        </w:rPr>
        <w:t>AI 输出的处理：</w:t>
      </w:r>
      <w:r>
        <w:t>复查时区分开发实验与留出评估、模拟任务耗时与程序实际运行耗时、本地仿真与正式测试。未经原始结果支持的数值或改进结论不直接写入论文；最终报告值需与对应代码、配置和结果文件一致。</w:t>
      </w:r>
    </w:p>
    <w:p>
      <w:pPr>
        <w:pStyle w:val="Heading2"/>
        <w:pageBreakBefore/>
      </w:pPr>
      <w:r>
        <w:t>5. 图表和可视化</w:t>
      </w:r>
    </w:p>
    <w:p>
      <w:pPr>
        <w:keepLines/>
        <w:jc w:val="both"/>
      </w:pPr>
      <w:r>
        <w:rPr>
          <w:b/>
        </w:rPr>
        <w:t>使用目的：</w:t>
      </w:r>
      <w:r>
        <w:t>原表列有绘图代码、坐标轴、图例和图表排版辅助。目前未提供可核实的具体绘图交互及最终采用图号。</w:t>
      </w:r>
    </w:p>
    <w:p>
      <w:pPr>
        <w:keepLines/>
        <w:jc w:val="both"/>
      </w:pPr>
      <w:r>
        <w:rPr>
          <w:b/>
        </w:rPr>
        <w:t>典型提示方式：</w:t>
      </w:r>
      <w:r>
        <w:t>本项具体提示记录尚未确认，不将示意性提示写成已经发生的交互。</w:t>
      </w:r>
    </w:p>
    <w:p>
      <w:pPr>
        <w:keepLines/>
        <w:jc w:val="both"/>
      </w:pPr>
      <w:r>
        <w:rPr>
          <w:b/>
        </w:rPr>
        <w:t>AI 输出的处理：</w:t>
      </w:r>
      <w:r>
        <w:t>实际使用范围和采用图表需与最终稿核对。对 AI 辅助制作的图表，应核对输入数据、坐标、单位和图例，并区分几何示意图与程序实验结果。</w:t>
      </w:r>
    </w:p>
    <w:p>
      <w:pPr>
        <w:pStyle w:val="Heading2"/>
      </w:pPr>
      <w:r>
        <w:t>6. 论文语言及 LaTeX 表达</w:t>
      </w:r>
    </w:p>
    <w:p>
      <w:pPr>
        <w:keepLines/>
        <w:jc w:val="both"/>
      </w:pPr>
      <w:r>
        <w:rPr>
          <w:b/>
        </w:rPr>
        <w:t>使用目的：</w:t>
      </w:r>
      <w:r>
        <w:t>根据已提供的模型和材料，辅助起草、整合、精简问题一及问题三、四的说明文稿，调整段落结构和论文版式。LaTeX 的具体修改记录尚未确认。</w:t>
      </w:r>
    </w:p>
    <w:p>
      <w:pPr>
        <w:keepLines/>
        <w:jc w:val="both"/>
      </w:pPr>
      <w:r>
        <w:rPr>
          <w:b/>
        </w:rPr>
        <w:t>典型提示方式：</w:t>
      </w:r>
      <w:r>
        <w:t>请检查是否包含题目目标、所用模型、数据来源、具体结果和创新亮点；删除空话、套话和重复表述，整理成正常论文文档，标题四号、正文小四。</w:t>
      </w:r>
    </w:p>
    <w:p>
      <w:pPr>
        <w:keepLines/>
        <w:jc w:val="both"/>
      </w:pPr>
      <w:r>
        <w:rPr>
          <w:b/>
        </w:rPr>
        <w:t>AI 输出的处理：</w:t>
      </w:r>
      <w:r>
        <w:t>文稿根据参赛队反馈多轮调整。本项包含内容组织和文字改写，不仅是语法润色；最终采用内容须与实际模型、代码和结果核对，不将 AI 补写的假设、数值或结论直接视为事实。</w:t>
      </w:r>
    </w:p>
    <w:p>
      <w:pPr>
        <w:pStyle w:val="Heading1"/>
      </w:pPr>
      <w:r>
        <w:t>三、人工审查与核验说明</w:t>
      </w:r>
    </w:p>
    <w:p>
      <w:pPr>
        <w:keepLines/>
        <w:jc w:val="both"/>
      </w:pPr>
      <w:r>
        <w:t>本参赛队对最终提交内容承担审查责任。现有记录包含多轮方案讨论、材料提交和 AI 复查；以下为提交前核验事项，其完成情况须由参赛队结合留存材料确认，不据此声称全部核验均已完成。</w:t>
      </w:r>
    </w:p>
    <w:p>
      <w:pPr>
        <w:keepLines/>
        <w:spacing w:after="80"/>
        <w:ind w:left="320" w:hanging="320"/>
        <w:jc w:val="both"/>
      </w:pPr>
      <w:r>
        <w:t>1. 核对各题模型、基本假设和求解方法，区分候选方案、已实现方案与最终采用方案。</w:t>
      </w:r>
    </w:p>
    <w:p>
      <w:pPr>
        <w:keepLines/>
        <w:spacing w:after="80"/>
        <w:ind w:left="320" w:hanging="320"/>
        <w:jc w:val="both"/>
      </w:pPr>
      <w:r>
        <w:t>2. 核对主要公式的适用条件、推导及几何含义；检查空集、无界、退化和数值边界情况。</w:t>
      </w:r>
    </w:p>
    <w:p>
      <w:pPr>
        <w:keepLines/>
        <w:spacing w:after="80"/>
        <w:ind w:left="320" w:hanging="320"/>
        <w:jc w:val="both"/>
      </w:pPr>
      <w:r>
        <w:t>3. 核对 AI 生成或修改代码的行为，通过单元测试、边界用例和回放确认；保留版本及运行日志。</w:t>
      </w:r>
    </w:p>
    <w:p>
      <w:pPr>
        <w:keepLines/>
        <w:spacing w:after="80"/>
        <w:ind w:left="320" w:hanging="320"/>
        <w:jc w:val="both"/>
      </w:pPr>
      <w:r>
        <w:t>4. 将论文数值、表格和图形与相应输入、场景、配置和结果文件对应，不混用不同版本的实验。</w:t>
      </w:r>
    </w:p>
    <w:p>
      <w:pPr>
        <w:keepLines/>
        <w:spacing w:after="80"/>
        <w:ind w:left="320" w:hanging="320"/>
        <w:jc w:val="both"/>
      </w:pPr>
      <w:r>
        <w:t>5. 对无法由推导、实验或可靠资料验证的 AI 输出不直接采用；文献引用须回到原始出处核对。</w:t>
      </w:r>
    </w:p>
    <w:p>
      <w:pPr>
        <w:keepLines/>
        <w:spacing w:after="80"/>
        <w:ind w:left="320" w:hanging="320"/>
        <w:jc w:val="both"/>
      </w:pPr>
      <w:r>
        <w:t>6. 如实记录 AI 在方法讨论、推导、代码生成和文稿改写中的参与；方案取舍与最终结论由参赛队负责。</w:t>
      </w:r>
    </w:p>
    <w:p>
      <w:pPr>
        <w:pStyle w:val="Heading1"/>
        <w:pageBreakBefore/>
      </w:pPr>
      <w:r>
        <w:t>四、典型交互示例</w:t>
      </w:r>
    </w:p>
    <w:p>
      <w:pPr>
        <w:keepLines/>
        <w:jc w:val="both"/>
      </w:pPr>
      <w:r>
        <w:t>以下根据本次竞赛交流整理。提示与回答为内容概括；“最终处理”仅记录现有材料能够确认的状态。</w:t>
      </w:r>
    </w:p>
    <w:p>
      <w:pPr>
        <w:pStyle w:val="Heading2"/>
      </w:pPr>
      <w:r>
        <w:t>示例 1：代码调试</w:t>
      </w:r>
    </w:p>
    <w:p>
      <w:pPr>
        <w:keepLines/>
        <w:jc w:val="both"/>
      </w:pPr>
      <w:r>
        <w:rPr>
          <w:b/>
        </w:rPr>
        <w:t>参赛队提示：</w:t>
      </w:r>
      <w:r>
        <w:t>请检查问题四队友方案优化诊断包中的源码、日志与结果，判断诊断是否可靠，以及哪些优化值得优先实施。</w:t>
      </w:r>
    </w:p>
    <w:p>
      <w:pPr>
        <w:keepLines/>
        <w:jc w:val="both"/>
      </w:pPr>
      <w:r>
        <w:rPr>
          <w:b/>
        </w:rPr>
        <w:t>AI 主要回答：</w:t>
      </w:r>
      <w:r>
        <w:t>复查指出，多边形面积计算存在将叉积各项先取绝对值再求和的问题；部分诊断使用终局状态，不能代表当时可用的决策信息。因此，不能仅按诊断摘要中的排序实施优化。</w:t>
      </w:r>
    </w:p>
    <w:p>
      <w:pPr>
        <w:keepLines/>
        <w:jc w:val="both"/>
      </w:pPr>
      <w:r>
        <w:rPr>
          <w:b/>
        </w:rPr>
        <w:t>参赛队最终处理：</w:t>
      </w:r>
      <w:r>
        <w:t>当前可确认的状态为已获得问题定位和修复建议。尚未提供修复后的回归测试结果，故本项不记为“代码已修复并验证通过”；最终处理状态需由参赛队补充确认。</w:t>
      </w:r>
    </w:p>
    <w:p>
      <w:pPr>
        <w:pStyle w:val="Heading2"/>
      </w:pPr>
      <w:r>
        <w:t>示例 2：模型检查</w:t>
      </w:r>
    </w:p>
    <w:p>
      <w:pPr>
        <w:keepLines/>
        <w:jc w:val="both"/>
      </w:pPr>
      <w:r>
        <w:rPr>
          <w:b/>
        </w:rPr>
        <w:t>参赛队提示：</w:t>
      </w:r>
      <w:r>
        <w:t>问题一中，如何计算带示向误差的交会定位区域及其直径？以该直径为直径的圆，是否一定能够覆盖整个区域？</w:t>
      </w:r>
    </w:p>
    <w:p>
      <w:pPr>
        <w:keepLines/>
        <w:jc w:val="both"/>
      </w:pPr>
      <w:r>
        <w:rPr>
          <w:b/>
        </w:rPr>
        <w:t>AI 主要回答：</w:t>
      </w:r>
      <w:r>
        <w:t>区域直径是区域内最大点对距离，不能直接推出半径为直径一半的圆覆盖整个区域。应另行计算最小包围圆，并据其半径判断覆盖条件，同时区分空集、无界和有界情况。</w:t>
      </w:r>
    </w:p>
    <w:p>
      <w:pPr>
        <w:keepLines/>
        <w:jc w:val="both"/>
      </w:pPr>
      <w:r>
        <w:rPr>
          <w:b/>
        </w:rPr>
        <w:t>参赛队最终处理：</w:t>
      </w:r>
      <w:r>
        <w:t>已提供的《问题一论文》分别计算区域直径和最小包围圆，并单独设置覆盖判据。此处能够确认稿件已体现该处理；最终证明、代码和容差判定仍由参赛队核对。</w:t>
      </w:r>
    </w:p>
    <w:p>
      <w:pPr>
        <w:pStyle w:val="Heading2"/>
      </w:pPr>
      <w:r>
        <w:t>示例 3：语言润色</w:t>
      </w:r>
    </w:p>
    <w:p>
      <w:pPr>
        <w:keepLines/>
        <w:jc w:val="both"/>
      </w:pPr>
      <w:r>
        <w:rPr>
          <w:b/>
        </w:rPr>
        <w:t>参赛队提示：</w:t>
      </w:r>
      <w:r>
        <w:t>请检查问题一文稿是否写清题目目标、所用模型、数据来源、具体结果和创新亮点，删除空话套话，并按标题四号、正文小四重新整理成论文文档。</w:t>
      </w:r>
    </w:p>
    <w:p>
      <w:pPr>
        <w:keepLines/>
        <w:jc w:val="both"/>
      </w:pPr>
      <w:r>
        <w:rPr>
          <w:b/>
        </w:rPr>
        <w:t>使用说明：</w:t>
      </w:r>
      <w:r>
        <w:t>该请求涉及稿件审查、内容组织、文字改写及排版。AI 的文字输出不是模型正确性或实验真实性的证明；最终采用的表述、公式和数值应与实际完成的工作一致。</w:t>
      </w:r>
    </w:p>
    <w:p>
      <w:pPr>
        <w:keepLines/>
        <w:spacing w:before="180" w:after="0"/>
        <w:jc w:val="both"/>
      </w:pPr>
      <w:r>
        <w:t>填写依据：所上传的《AI 工具使用详情-2.pdf》、本次竞赛交流记录及已提供稿件。记录截至 2026 年 9 月 13 日。提交前请核对工具型号、图表使用范围、人工核验完成情况和示例中的最终处理状态。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389" w:bottom="1247" w:left="138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A0A0A0" w:space="5"/>
      </w:pBdr>
    </w:pPr>
    <w:r>
      <w:t>AI 工具使用详情｜B 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before="0" w:after="120"/>
    </w:pPr>
    <w:rPr>
      <w:rFonts w:ascii="Times New Roman" w:hAnsi="Times New Roman" w:eastAsia="Noto Serif CJK SC"/>
      <w:b w:val="0"/>
      <w:color w:val="000000"/>
      <w:sz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  <w:b w:val="0"/>
      <w:color w:val="000000"/>
      <w:sz w:val="18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  <w:b w:val="0"/>
      <w:color w:val="000000"/>
      <w:sz w:val="18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00" w:lineRule="exact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8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400" w:lineRule="exact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8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40" w:line="400" w:lineRule="exact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/>
      <w:color w:val="000000"/>
      <w:spacing w:val="5"/>
      <w:kern w:val="28"/>
      <w:sz w:val="28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60" w:lineRule="exact" w:before="0"/>
    </w:pPr>
    <w:rPr>
      <w:rFonts w:ascii="Times New Roman" w:hAnsi="Times New Roman" w:eastAsia="Noto Serif CJK SC"/>
      <w:b w:val="0"/>
      <w:color w:val="000000"/>
      <w:sz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工具使用详情</dc:title>
  <dc:subject>2026 年全国大学生数学建模竞赛 B 题 AI 工具使用记录</dc:subject>
  <dc:creator/>
  <cp:keywords>AI工具使用, ChatGPT, Codex, Cursor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