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360"/>
        <w:jc w:val="center"/>
      </w:pPr>
      <w:r>
        <w:rPr>
          <w:rFonts w:ascii="宋体" w:hAnsi="宋体" w:eastAsia="宋体"/>
          <w:b/>
          <w:color w:val="000000"/>
          <w:sz w:val="44"/>
        </w:rPr>
        <w:t>2026中国高校计算机大赛—人工智能创意赛</w:t>
      </w:r>
    </w:p>
    <w:p>
      <w:pPr>
        <w:spacing w:line="240" w:lineRule="auto" w:after="600"/>
        <w:jc w:val="center"/>
      </w:pPr>
      <w:r>
        <w:rPr>
          <w:rFonts w:ascii="宋体" w:hAnsi="宋体" w:eastAsia="宋体"/>
          <w:b/>
          <w:color w:val="000000"/>
          <w:sz w:val="44"/>
        </w:rPr>
        <w:t>鸿蒙赛道作品说明文档</w:t>
      </w:r>
    </w:p>
    <w:p>
      <w:pPr>
        <w:spacing w:line="240" w:lineRule="auto" w:after="200"/>
        <w:jc w:val="center"/>
      </w:pPr>
      <w:r>
        <w:rPr>
          <w:rFonts w:ascii="宋体" w:hAnsi="宋体" w:eastAsia="宋体"/>
          <w:b/>
          <w:color w:val="000000"/>
          <w:sz w:val="32"/>
        </w:rPr>
        <w:t>参赛学校：山东师范大学</w:t>
      </w:r>
    </w:p>
    <w:p>
      <w:pPr>
        <w:spacing w:line="240" w:lineRule="auto" w:after="200"/>
        <w:jc w:val="center"/>
      </w:pPr>
      <w:r>
        <w:rPr>
          <w:rFonts w:ascii="宋体" w:hAnsi="宋体" w:eastAsia="宋体"/>
          <w:b/>
          <w:color w:val="000000"/>
          <w:sz w:val="32"/>
        </w:rPr>
        <w:t>团队名称：airfree</w:t>
      </w:r>
    </w:p>
    <w:p>
      <w:pPr>
        <w:spacing w:line="240" w:lineRule="auto" w:after="200"/>
        <w:jc w:val="center"/>
      </w:pPr>
      <w:r>
        <w:rPr>
          <w:rFonts w:ascii="宋体" w:hAnsi="宋体" w:eastAsia="宋体"/>
          <w:b/>
          <w:color w:val="000000"/>
          <w:sz w:val="32"/>
        </w:rPr>
        <w:t>作品名称：“同频” Same Wavelength</w:t>
      </w:r>
    </w:p>
    <w:p>
      <w:pPr>
        <w:spacing w:line="240" w:lineRule="auto" w:after="200"/>
        <w:jc w:val="center"/>
      </w:pPr>
      <w:r>
        <w:rPr>
          <w:rFonts w:ascii="宋体" w:hAnsi="宋体" w:eastAsia="宋体"/>
          <w:b/>
          <w:color w:val="000000"/>
          <w:sz w:val="32"/>
        </w:rPr>
        <w:t>赛题方向：Agent 创新</w:t>
      </w:r>
    </w:p>
    <w:p>
      <w:pPr>
        <w:spacing w:line="240" w:lineRule="auto" w:after="200"/>
        <w:jc w:val="center"/>
      </w:pPr>
      <w:r>
        <w:rPr>
          <w:rFonts w:ascii="宋体" w:hAnsi="宋体" w:eastAsia="宋体"/>
          <w:b/>
          <w:color w:val="000000"/>
          <w:sz w:val="32"/>
        </w:rPr>
        <w:t>联系人（队长）：邓子祥</w:t>
      </w:r>
    </w:p>
    <w:p>
      <w:pPr>
        <w:spacing w:line="240" w:lineRule="auto" w:after="200"/>
        <w:jc w:val="center"/>
      </w:pPr>
      <w:r>
        <w:rPr>
          <w:rFonts w:ascii="宋体" w:hAnsi="宋体" w:eastAsia="宋体"/>
          <w:b/>
          <w:color w:val="000000"/>
          <w:sz w:val="32"/>
        </w:rPr>
        <w:t>联系电话（队长）：15656807075</w:t>
      </w:r>
    </w:p>
    <w:p>
      <w:r>
        <w:br w:type="page"/>
      </w:r>
    </w:p>
    <w:p>
      <w:pPr>
        <w:spacing w:line="240" w:lineRule="auto" w:after="320"/>
        <w:jc w:val="center"/>
      </w:pPr>
      <w:r>
        <w:rPr>
          <w:rFonts w:ascii="宋体" w:hAnsi="宋体" w:eastAsia="宋体"/>
          <w:b/>
          <w:color w:val="000000"/>
          <w:sz w:val="32"/>
        </w:rPr>
        <w:t>目  录</w:t>
      </w:r>
    </w:p>
    <w:p>
      <w:pPr>
        <w:spacing w:line="240" w:lineRule="auto" w:after="120"/>
      </w:pPr>
      <w:r>
        <w:rPr>
          <w:rFonts w:ascii="宋体" w:hAnsi="宋体" w:eastAsia="宋体"/>
          <w:b w:val="0"/>
          <w:color w:val="000000"/>
          <w:sz w:val="21"/>
        </w:rPr>
        <w:t>一、参赛团队信息表</w:t>
      </w:r>
    </w:p>
    <w:p>
      <w:pPr>
        <w:spacing w:line="240" w:lineRule="auto" w:after="120"/>
      </w:pPr>
      <w:r>
        <w:rPr>
          <w:rFonts w:ascii="宋体" w:hAnsi="宋体" w:eastAsia="宋体"/>
          <w:b w:val="0"/>
          <w:color w:val="000000"/>
          <w:sz w:val="21"/>
        </w:rPr>
        <w:t>二、作品原创性声明</w:t>
      </w:r>
    </w:p>
    <w:p>
      <w:pPr>
        <w:spacing w:line="240" w:lineRule="auto" w:after="120"/>
      </w:pPr>
      <w:r>
        <w:rPr>
          <w:rFonts w:ascii="宋体" w:hAnsi="宋体" w:eastAsia="宋体"/>
          <w:b w:val="0"/>
          <w:color w:val="000000"/>
          <w:sz w:val="21"/>
        </w:rPr>
        <w:t>三、创意描述</w:t>
      </w:r>
    </w:p>
    <w:p>
      <w:pPr>
        <w:spacing w:line="240" w:lineRule="auto" w:after="120"/>
      </w:pPr>
      <w:r>
        <w:rPr>
          <w:rFonts w:ascii="宋体" w:hAnsi="宋体" w:eastAsia="宋体"/>
          <w:b w:val="0"/>
          <w:color w:val="000000"/>
          <w:sz w:val="21"/>
        </w:rPr>
        <w:t>四、设计稿</w:t>
      </w:r>
    </w:p>
    <w:p>
      <w:pPr>
        <w:spacing w:line="240" w:lineRule="auto" w:after="120"/>
      </w:pPr>
      <w:r>
        <w:rPr>
          <w:rFonts w:ascii="宋体" w:hAnsi="宋体" w:eastAsia="宋体"/>
          <w:b w:val="0"/>
          <w:color w:val="000000"/>
          <w:sz w:val="21"/>
        </w:rPr>
        <w:t>五、介绍文档</w:t>
      </w:r>
    </w:p>
    <w:p>
      <w:r>
        <w:br w:type="page"/>
      </w:r>
    </w:p>
    <w:p>
      <w:pPr>
        <w:spacing w:line="240" w:lineRule="auto" w:after="240"/>
      </w:pPr>
      <w:r>
        <w:rPr>
          <w:rFonts w:ascii="宋体" w:hAnsi="宋体" w:eastAsia="宋体"/>
          <w:b/>
          <w:color w:val="000000"/>
          <w:sz w:val="32"/>
        </w:rPr>
        <w:t>一、参赛团队信息表</w:t>
      </w:r>
    </w:p>
    <w:tbl>
      <w:tblPr>
        <w:tblStyle w:val="TableGrid"/>
        <w:tblW w:type="auto" w:w="0"/>
        <w:tblLook w:firstColumn="1" w:firstRow="1" w:lastColumn="0" w:lastRow="0" w:noHBand="0" w:noVBand="1" w:val="04A0"/>
      </w:tblPr>
      <w:tblGrid>
        <w:gridCol w:w="1814"/>
        <w:gridCol w:w="6690"/>
      </w:tblGrid>
      <w:tr>
        <w:tc>
          <w:tcPr>
            <w:tcW w:type="dxa" w:w="4252"/>
          </w:tcPr>
          <w:p>
            <w:pPr>
              <w:spacing w:line="240" w:lineRule="auto"/>
            </w:pPr>
            <w:r>
              <w:rPr>
                <w:rFonts w:ascii="宋体" w:hAnsi="宋体" w:eastAsia="宋体"/>
                <w:b/>
                <w:color w:val="000000"/>
                <w:sz w:val="21"/>
              </w:rPr>
              <w:t>作品名称</w:t>
            </w:r>
          </w:p>
        </w:tc>
        <w:tc>
          <w:tcPr>
            <w:tcW w:type="dxa" w:w="4252"/>
          </w:tcPr>
          <w:p>
            <w:pPr>
              <w:spacing w:line="240" w:lineRule="auto"/>
            </w:pPr>
            <w:r>
              <w:rPr>
                <w:rFonts w:ascii="宋体" w:hAnsi="宋体" w:eastAsia="宋体"/>
                <w:b w:val="0"/>
                <w:color w:val="000000"/>
                <w:sz w:val="21"/>
              </w:rPr>
              <w:t>“同频” Same Wavelength</w:t>
            </w:r>
          </w:p>
        </w:tc>
      </w:tr>
      <w:tr>
        <w:tc>
          <w:tcPr>
            <w:tcW w:type="dxa" w:w="4252"/>
          </w:tcPr>
          <w:p>
            <w:pPr>
              <w:spacing w:line="240" w:lineRule="auto"/>
            </w:pPr>
            <w:r>
              <w:rPr>
                <w:rFonts w:ascii="宋体" w:hAnsi="宋体" w:eastAsia="宋体"/>
                <w:b/>
                <w:color w:val="000000"/>
                <w:sz w:val="21"/>
              </w:rPr>
              <w:t>团队名称</w:t>
            </w:r>
          </w:p>
        </w:tc>
        <w:tc>
          <w:tcPr>
            <w:tcW w:type="dxa" w:w="4252"/>
          </w:tcPr>
          <w:p>
            <w:pPr>
              <w:spacing w:line="240" w:lineRule="auto"/>
            </w:pPr>
            <w:r>
              <w:rPr>
                <w:rFonts w:ascii="宋体" w:hAnsi="宋体" w:eastAsia="宋体"/>
                <w:b w:val="0"/>
                <w:color w:val="000000"/>
                <w:sz w:val="21"/>
              </w:rPr>
              <w:t>airfree</w:t>
            </w:r>
          </w:p>
        </w:tc>
      </w:tr>
      <w:tr>
        <w:tc>
          <w:tcPr>
            <w:tcW w:type="dxa" w:w="4252"/>
          </w:tcPr>
          <w:p>
            <w:pPr>
              <w:spacing w:line="240" w:lineRule="auto"/>
            </w:pPr>
            <w:r>
              <w:rPr>
                <w:rFonts w:ascii="宋体" w:hAnsi="宋体" w:eastAsia="宋体"/>
                <w:b/>
                <w:color w:val="000000"/>
                <w:sz w:val="21"/>
              </w:rPr>
              <w:t>参赛学校</w:t>
            </w:r>
          </w:p>
        </w:tc>
        <w:tc>
          <w:tcPr>
            <w:tcW w:type="dxa" w:w="4252"/>
          </w:tcPr>
          <w:p>
            <w:pPr>
              <w:spacing w:line="240" w:lineRule="auto"/>
            </w:pPr>
            <w:r>
              <w:rPr>
                <w:rFonts w:ascii="宋体" w:hAnsi="宋体" w:eastAsia="宋体"/>
                <w:b w:val="0"/>
                <w:color w:val="000000"/>
                <w:sz w:val="21"/>
              </w:rPr>
              <w:t>山东师范大学</w:t>
            </w:r>
          </w:p>
        </w:tc>
      </w:tr>
      <w:tr>
        <w:tc>
          <w:tcPr>
            <w:tcW w:type="dxa" w:w="4252"/>
          </w:tcPr>
          <w:p>
            <w:pPr>
              <w:spacing w:line="240" w:lineRule="auto"/>
            </w:pPr>
            <w:r>
              <w:rPr>
                <w:rFonts w:ascii="宋体" w:hAnsi="宋体" w:eastAsia="宋体"/>
                <w:b/>
                <w:color w:val="000000"/>
                <w:sz w:val="21"/>
              </w:rPr>
              <w:t>赛题方向</w:t>
            </w:r>
          </w:p>
        </w:tc>
        <w:tc>
          <w:tcPr>
            <w:tcW w:type="dxa" w:w="4252"/>
          </w:tcPr>
          <w:p>
            <w:pPr>
              <w:spacing w:line="240" w:lineRule="auto"/>
            </w:pPr>
            <w:r>
              <w:rPr>
                <w:rFonts w:ascii="宋体" w:hAnsi="宋体" w:eastAsia="宋体"/>
                <w:b w:val="0"/>
                <w:color w:val="000000"/>
                <w:sz w:val="21"/>
              </w:rPr>
              <w:t>（ ）应用创新  （√）Agent 创新  （ ）用户体验创新  （ ）操作系统智能创新</w:t>
            </w:r>
          </w:p>
        </w:tc>
      </w:tr>
    </w:tbl>
    <w:p>
      <w:pPr>
        <w:spacing w:line="240" w:lineRule="auto" w:after="40"/>
      </w:pPr>
      <w:r>
        <w:rPr>
          <w:rFonts w:ascii="宋体" w:hAnsi="宋体" w:eastAsia="宋体"/>
          <w:b w:val="0"/>
          <w:color w:val="000000"/>
          <w:sz w:val="21"/>
        </w:rPr>
      </w:r>
    </w:p>
    <w:p>
      <w:pPr>
        <w:spacing w:line="240" w:lineRule="auto" w:after="120"/>
      </w:pPr>
      <w:r>
        <w:rPr>
          <w:rFonts w:ascii="宋体" w:hAnsi="宋体" w:eastAsia="宋体"/>
          <w:b/>
          <w:color w:val="000000"/>
          <w:sz w:val="24"/>
        </w:rPr>
        <w:t>（一）团队队员基本信息</w:t>
      </w:r>
    </w:p>
    <w:tbl>
      <w:tblPr>
        <w:tblStyle w:val="TableGrid"/>
        <w:tblW w:type="auto" w:w="0"/>
        <w:tblLayout w:type="fixed"/>
        <w:tblLook w:firstColumn="1" w:firstRow="1" w:lastColumn="0" w:lastRow="0" w:noHBand="0" w:noVBand="1" w:val="04A0"/>
      </w:tblPr>
      <w:tblGrid>
        <w:gridCol w:w="945"/>
        <w:gridCol w:w="945"/>
        <w:gridCol w:w="945"/>
        <w:gridCol w:w="945"/>
        <w:gridCol w:w="945"/>
        <w:gridCol w:w="945"/>
        <w:gridCol w:w="945"/>
        <w:gridCol w:w="945"/>
        <w:gridCol w:w="945"/>
      </w:tblGrid>
      <w:tr>
        <w:tc>
          <w:tcPr>
            <w:tcW w:type="dxa" w:w="907"/>
          </w:tcPr>
          <w:p>
            <w:pPr>
              <w:spacing w:line="240" w:lineRule="auto"/>
            </w:pPr>
            <w:r>
              <w:rPr>
                <w:rFonts w:ascii="宋体" w:hAnsi="宋体" w:eastAsia="宋体"/>
                <w:b/>
                <w:color w:val="000000"/>
                <w:sz w:val="16"/>
              </w:rPr>
              <w:t>姓名</w:t>
            </w:r>
          </w:p>
        </w:tc>
        <w:tc>
          <w:tcPr>
            <w:tcW w:type="dxa" w:w="1134"/>
          </w:tcPr>
          <w:p>
            <w:pPr>
              <w:spacing w:line="240" w:lineRule="auto"/>
            </w:pPr>
            <w:r>
              <w:rPr>
                <w:rFonts w:ascii="宋体" w:hAnsi="宋体" w:eastAsia="宋体"/>
                <w:b/>
                <w:color w:val="000000"/>
                <w:sz w:val="16"/>
              </w:rPr>
              <w:t>学校全称</w:t>
            </w:r>
          </w:p>
        </w:tc>
        <w:tc>
          <w:tcPr>
            <w:tcW w:type="dxa" w:w="1361"/>
          </w:tcPr>
          <w:p>
            <w:pPr>
              <w:spacing w:line="240" w:lineRule="auto"/>
            </w:pPr>
            <w:r>
              <w:rPr>
                <w:rFonts w:ascii="宋体" w:hAnsi="宋体" w:eastAsia="宋体"/>
                <w:b/>
                <w:color w:val="000000"/>
                <w:sz w:val="16"/>
              </w:rPr>
              <w:t>院（系）全称</w:t>
            </w:r>
          </w:p>
        </w:tc>
        <w:tc>
          <w:tcPr>
            <w:tcW w:type="dxa" w:w="1474"/>
          </w:tcPr>
          <w:p>
            <w:pPr>
              <w:spacing w:line="240" w:lineRule="auto"/>
            </w:pPr>
            <w:r>
              <w:rPr>
                <w:rFonts w:ascii="宋体" w:hAnsi="宋体" w:eastAsia="宋体"/>
                <w:b/>
                <w:color w:val="000000"/>
                <w:sz w:val="16"/>
              </w:rPr>
              <w:t>专业全称</w:t>
            </w:r>
          </w:p>
        </w:tc>
        <w:tc>
          <w:tcPr>
            <w:tcW w:type="dxa" w:w="567"/>
          </w:tcPr>
          <w:p>
            <w:pPr>
              <w:spacing w:line="240" w:lineRule="auto"/>
            </w:pPr>
            <w:r>
              <w:rPr>
                <w:rFonts w:ascii="宋体" w:hAnsi="宋体" w:eastAsia="宋体"/>
                <w:b/>
                <w:color w:val="000000"/>
                <w:sz w:val="16"/>
              </w:rPr>
              <w:t>年级</w:t>
            </w:r>
          </w:p>
        </w:tc>
        <w:tc>
          <w:tcPr>
            <w:tcW w:type="dxa" w:w="794"/>
          </w:tcPr>
          <w:p>
            <w:pPr>
              <w:spacing w:line="240" w:lineRule="auto"/>
            </w:pPr>
            <w:r>
              <w:rPr>
                <w:rFonts w:ascii="宋体" w:hAnsi="宋体" w:eastAsia="宋体"/>
                <w:b/>
                <w:color w:val="000000"/>
                <w:sz w:val="16"/>
              </w:rPr>
              <w:t>毕业时间</w:t>
            </w:r>
          </w:p>
        </w:tc>
        <w:tc>
          <w:tcPr>
            <w:tcW w:type="dxa" w:w="1134"/>
          </w:tcPr>
          <w:p>
            <w:pPr>
              <w:spacing w:line="240" w:lineRule="auto"/>
            </w:pPr>
            <w:r>
              <w:rPr>
                <w:rFonts w:ascii="宋体" w:hAnsi="宋体" w:eastAsia="宋体"/>
                <w:b/>
                <w:color w:val="000000"/>
                <w:sz w:val="16"/>
              </w:rPr>
              <w:t>联系电话</w:t>
            </w:r>
          </w:p>
        </w:tc>
        <w:tc>
          <w:tcPr>
            <w:tcW w:type="dxa" w:w="1474"/>
          </w:tcPr>
          <w:p>
            <w:pPr>
              <w:spacing w:line="240" w:lineRule="auto"/>
            </w:pPr>
            <w:r>
              <w:rPr>
                <w:rFonts w:ascii="宋体" w:hAnsi="宋体" w:eastAsia="宋体"/>
                <w:b/>
                <w:color w:val="000000"/>
                <w:sz w:val="16"/>
              </w:rPr>
              <w:t>邮箱</w:t>
            </w:r>
          </w:p>
        </w:tc>
        <w:tc>
          <w:tcPr>
            <w:tcW w:type="dxa" w:w="737"/>
          </w:tcPr>
          <w:p>
            <w:pPr>
              <w:spacing w:line="240" w:lineRule="auto"/>
            </w:pPr>
            <w:r>
              <w:rPr>
                <w:rFonts w:ascii="宋体" w:hAnsi="宋体" w:eastAsia="宋体"/>
                <w:b/>
                <w:color w:val="000000"/>
                <w:sz w:val="16"/>
              </w:rPr>
              <w:t>团队分工</w:t>
            </w:r>
          </w:p>
        </w:tc>
      </w:tr>
      <w:tr>
        <w:tc>
          <w:tcPr>
            <w:tcW w:type="dxa" w:w="907"/>
          </w:tcPr>
          <w:p>
            <w:pPr>
              <w:spacing w:line="240" w:lineRule="auto"/>
            </w:pPr>
            <w:r>
              <w:rPr>
                <w:rFonts w:ascii="宋体" w:hAnsi="宋体" w:eastAsia="宋体"/>
                <w:b w:val="0"/>
                <w:color w:val="000000"/>
                <w:sz w:val="16"/>
              </w:rPr>
              <w:t>邓子祥</w:t>
            </w:r>
          </w:p>
        </w:tc>
        <w:tc>
          <w:tcPr>
            <w:tcW w:type="dxa" w:w="1134"/>
          </w:tcPr>
          <w:p>
            <w:pPr>
              <w:spacing w:line="240" w:lineRule="auto"/>
            </w:pPr>
            <w:r>
              <w:rPr>
                <w:rFonts w:ascii="宋体" w:hAnsi="宋体" w:eastAsia="宋体"/>
                <w:b w:val="0"/>
                <w:color w:val="000000"/>
                <w:sz w:val="16"/>
              </w:rPr>
              <w:t>山东师范大学</w:t>
            </w:r>
          </w:p>
        </w:tc>
        <w:tc>
          <w:tcPr>
            <w:tcW w:type="dxa" w:w="1361"/>
          </w:tcPr>
          <w:p>
            <w:pPr>
              <w:spacing w:line="240" w:lineRule="auto"/>
            </w:pPr>
            <w:r>
              <w:rPr>
                <w:rFonts w:ascii="宋体" w:hAnsi="宋体" w:eastAsia="宋体"/>
                <w:b w:val="0"/>
                <w:color w:val="000000"/>
                <w:sz w:val="16"/>
              </w:rPr>
              <w:t>计算机与人工智能学院</w:t>
            </w:r>
          </w:p>
        </w:tc>
        <w:tc>
          <w:tcPr>
            <w:tcW w:type="dxa" w:w="1474"/>
          </w:tcPr>
          <w:p>
            <w:pPr>
              <w:spacing w:line="240" w:lineRule="auto"/>
            </w:pPr>
            <w:r>
              <w:rPr>
                <w:rFonts w:ascii="宋体" w:hAnsi="宋体" w:eastAsia="宋体"/>
                <w:b w:val="0"/>
                <w:color w:val="000000"/>
                <w:sz w:val="16"/>
              </w:rPr>
              <w:t>人工智能</w:t>
            </w:r>
          </w:p>
        </w:tc>
        <w:tc>
          <w:tcPr>
            <w:tcW w:type="dxa" w:w="567"/>
          </w:tcPr>
          <w:p>
            <w:pPr>
              <w:spacing w:line="240" w:lineRule="auto"/>
            </w:pPr>
            <w:r>
              <w:rPr>
                <w:rFonts w:ascii="宋体" w:hAnsi="宋体" w:eastAsia="宋体"/>
                <w:b w:val="0"/>
                <w:color w:val="000000"/>
                <w:sz w:val="16"/>
              </w:rPr>
              <w:t>大三</w:t>
            </w:r>
          </w:p>
        </w:tc>
        <w:tc>
          <w:tcPr>
            <w:tcW w:type="dxa" w:w="794"/>
          </w:tcPr>
          <w:p>
            <w:pPr>
              <w:spacing w:line="240" w:lineRule="auto"/>
            </w:pPr>
            <w:r>
              <w:rPr>
                <w:rFonts w:ascii="宋体" w:hAnsi="宋体" w:eastAsia="宋体"/>
                <w:b w:val="0"/>
                <w:color w:val="000000"/>
                <w:sz w:val="16"/>
              </w:rPr>
              <w:t>2028.6</w:t>
            </w:r>
          </w:p>
        </w:tc>
        <w:tc>
          <w:tcPr>
            <w:tcW w:type="dxa" w:w="1134"/>
          </w:tcPr>
          <w:p>
            <w:pPr>
              <w:spacing w:line="240" w:lineRule="auto"/>
            </w:pPr>
            <w:r>
              <w:rPr>
                <w:rFonts w:ascii="宋体" w:hAnsi="宋体" w:eastAsia="宋体"/>
                <w:b w:val="0"/>
                <w:color w:val="000000"/>
                <w:sz w:val="16"/>
              </w:rPr>
              <w:t>15656807075</w:t>
            </w:r>
          </w:p>
        </w:tc>
        <w:tc>
          <w:tcPr>
            <w:tcW w:type="dxa" w:w="1474"/>
          </w:tcPr>
          <w:p>
            <w:pPr>
              <w:spacing w:line="240" w:lineRule="auto"/>
            </w:pPr>
            <w:r>
              <w:rPr>
                <w:rFonts w:ascii="宋体" w:hAnsi="宋体" w:eastAsia="宋体"/>
                <w:b w:val="0"/>
                <w:color w:val="000000"/>
                <w:sz w:val="16"/>
              </w:rPr>
              <w:t>256043794@qq.com</w:t>
            </w:r>
          </w:p>
        </w:tc>
        <w:tc>
          <w:tcPr>
            <w:tcW w:type="dxa" w:w="737"/>
          </w:tcPr>
          <w:p>
            <w:pPr>
              <w:spacing w:line="240" w:lineRule="auto"/>
            </w:pPr>
            <w:r>
              <w:rPr>
                <w:rFonts w:ascii="宋体" w:hAnsi="宋体" w:eastAsia="宋体"/>
                <w:b w:val="0"/>
                <w:color w:val="000000"/>
                <w:sz w:val="16"/>
              </w:rPr>
              <w:t>队长</w:t>
            </w:r>
          </w:p>
        </w:tc>
      </w:tr>
      <w:tr>
        <w:tc>
          <w:tcPr>
            <w:tcW w:type="dxa" w:w="907"/>
          </w:tcPr>
          <w:p>
            <w:pPr>
              <w:spacing w:line="240" w:lineRule="auto"/>
            </w:pPr>
            <w:r>
              <w:rPr>
                <w:rFonts w:ascii="宋体" w:hAnsi="宋体" w:eastAsia="宋体"/>
                <w:b w:val="0"/>
                <w:color w:val="000000"/>
                <w:sz w:val="16"/>
              </w:rPr>
              <w:t>邓希语</w:t>
            </w:r>
          </w:p>
        </w:tc>
        <w:tc>
          <w:tcPr>
            <w:tcW w:type="dxa" w:w="1134"/>
          </w:tcPr>
          <w:p>
            <w:pPr>
              <w:spacing w:line="240" w:lineRule="auto"/>
            </w:pPr>
            <w:r>
              <w:rPr>
                <w:rFonts w:ascii="宋体" w:hAnsi="宋体" w:eastAsia="宋体"/>
                <w:b w:val="0"/>
                <w:color w:val="000000"/>
                <w:sz w:val="16"/>
              </w:rPr>
              <w:t>山东师范大学</w:t>
            </w:r>
          </w:p>
        </w:tc>
        <w:tc>
          <w:tcPr>
            <w:tcW w:type="dxa" w:w="1361"/>
          </w:tcPr>
          <w:p>
            <w:pPr>
              <w:spacing w:line="240" w:lineRule="auto"/>
            </w:pPr>
            <w:r>
              <w:rPr>
                <w:rFonts w:ascii="宋体" w:hAnsi="宋体" w:eastAsia="宋体"/>
                <w:b w:val="0"/>
                <w:color w:val="000000"/>
                <w:sz w:val="16"/>
              </w:rPr>
              <w:t>计算机与人工智能学院</w:t>
            </w:r>
          </w:p>
        </w:tc>
        <w:tc>
          <w:tcPr>
            <w:tcW w:type="dxa" w:w="1474"/>
          </w:tcPr>
          <w:p>
            <w:pPr>
              <w:spacing w:line="240" w:lineRule="auto"/>
            </w:pPr>
            <w:r>
              <w:rPr>
                <w:rFonts w:ascii="宋体" w:hAnsi="宋体" w:eastAsia="宋体"/>
                <w:b w:val="0"/>
                <w:color w:val="000000"/>
                <w:sz w:val="16"/>
              </w:rPr>
              <w:t>计算机科学与技术（非师范）</w:t>
            </w:r>
          </w:p>
        </w:tc>
        <w:tc>
          <w:tcPr>
            <w:tcW w:type="dxa" w:w="567"/>
          </w:tcPr>
          <w:p>
            <w:pPr>
              <w:spacing w:line="240" w:lineRule="auto"/>
            </w:pPr>
            <w:r>
              <w:rPr>
                <w:rFonts w:ascii="宋体" w:hAnsi="宋体" w:eastAsia="宋体"/>
                <w:b w:val="0"/>
                <w:color w:val="000000"/>
                <w:sz w:val="16"/>
              </w:rPr>
              <w:t>大二</w:t>
            </w:r>
          </w:p>
        </w:tc>
        <w:tc>
          <w:tcPr>
            <w:tcW w:type="dxa" w:w="794"/>
          </w:tcPr>
          <w:p>
            <w:pPr>
              <w:spacing w:line="240" w:lineRule="auto"/>
            </w:pPr>
            <w:r>
              <w:rPr>
                <w:rFonts w:ascii="宋体" w:hAnsi="宋体" w:eastAsia="宋体"/>
                <w:b w:val="0"/>
                <w:color w:val="000000"/>
                <w:sz w:val="16"/>
              </w:rPr>
              <w:t>2029.6</w:t>
            </w:r>
          </w:p>
        </w:tc>
        <w:tc>
          <w:tcPr>
            <w:tcW w:type="dxa" w:w="1134"/>
          </w:tcPr>
          <w:p>
            <w:pPr>
              <w:spacing w:line="240" w:lineRule="auto"/>
            </w:pPr>
            <w:r>
              <w:rPr>
                <w:rFonts w:ascii="宋体" w:hAnsi="宋体" w:eastAsia="宋体"/>
                <w:b w:val="0"/>
                <w:color w:val="000000"/>
                <w:sz w:val="16"/>
              </w:rPr>
              <w:t>18721255866</w:t>
            </w:r>
          </w:p>
        </w:tc>
        <w:tc>
          <w:tcPr>
            <w:tcW w:type="dxa" w:w="1474"/>
          </w:tcPr>
          <w:p>
            <w:pPr>
              <w:spacing w:line="240" w:lineRule="auto"/>
            </w:pPr>
            <w:r>
              <w:rPr>
                <w:rFonts w:ascii="宋体" w:hAnsi="宋体" w:eastAsia="宋体"/>
                <w:b w:val="0"/>
                <w:color w:val="000000"/>
                <w:sz w:val="16"/>
              </w:rPr>
              <w:t>2015853236@qq.com</w:t>
            </w:r>
          </w:p>
        </w:tc>
        <w:tc>
          <w:tcPr>
            <w:tcW w:type="dxa" w:w="737"/>
          </w:tcPr>
          <w:p>
            <w:pPr>
              <w:spacing w:line="240" w:lineRule="auto"/>
            </w:pPr>
            <w:r>
              <w:rPr>
                <w:rFonts w:ascii="宋体" w:hAnsi="宋体" w:eastAsia="宋体"/>
                <w:b w:val="0"/>
                <w:color w:val="000000"/>
                <w:sz w:val="16"/>
              </w:rPr>
              <w:t>队员</w:t>
            </w:r>
          </w:p>
        </w:tc>
      </w:tr>
    </w:tbl>
    <w:p>
      <w:pPr>
        <w:spacing w:line="240" w:lineRule="auto" w:after="40"/>
      </w:pPr>
      <w:r>
        <w:rPr>
          <w:rFonts w:ascii="宋体" w:hAnsi="宋体" w:eastAsia="宋体"/>
          <w:b w:val="0"/>
          <w:color w:val="000000"/>
          <w:sz w:val="21"/>
        </w:rPr>
      </w:r>
    </w:p>
    <w:p>
      <w:pPr>
        <w:spacing w:line="240" w:lineRule="auto" w:after="120"/>
      </w:pPr>
      <w:r>
        <w:rPr>
          <w:rFonts w:ascii="宋体" w:hAnsi="宋体" w:eastAsia="宋体"/>
          <w:b/>
          <w:color w:val="000000"/>
          <w:sz w:val="24"/>
        </w:rPr>
        <w:t>（二）团队指导教师信息（指导教师须与队长同校）</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pPr>
              <w:spacing w:line="240" w:lineRule="auto"/>
            </w:pPr>
            <w:r>
              <w:rPr>
                <w:rFonts w:ascii="宋体" w:hAnsi="宋体" w:eastAsia="宋体"/>
                <w:b/>
                <w:color w:val="000000"/>
                <w:sz w:val="18"/>
              </w:rPr>
              <w:t>姓名</w:t>
            </w:r>
          </w:p>
        </w:tc>
        <w:tc>
          <w:tcPr>
            <w:tcW w:type="dxa" w:w="1417"/>
          </w:tcPr>
          <w:p>
            <w:pPr>
              <w:spacing w:line="240" w:lineRule="auto"/>
            </w:pPr>
            <w:r>
              <w:rPr>
                <w:rFonts w:ascii="宋体" w:hAnsi="宋体" w:eastAsia="宋体"/>
                <w:b/>
                <w:color w:val="000000"/>
                <w:sz w:val="18"/>
              </w:rPr>
              <w:t>院（系）全称</w:t>
            </w:r>
          </w:p>
        </w:tc>
        <w:tc>
          <w:tcPr>
            <w:tcW w:type="dxa" w:w="1417"/>
          </w:tcPr>
          <w:p>
            <w:pPr>
              <w:spacing w:line="240" w:lineRule="auto"/>
            </w:pPr>
            <w:r>
              <w:rPr>
                <w:rFonts w:ascii="宋体" w:hAnsi="宋体" w:eastAsia="宋体"/>
                <w:b/>
                <w:color w:val="000000"/>
                <w:sz w:val="18"/>
              </w:rPr>
              <w:t>职称</w:t>
            </w:r>
          </w:p>
        </w:tc>
        <w:tc>
          <w:tcPr>
            <w:tcW w:type="dxa" w:w="1417"/>
          </w:tcPr>
          <w:p>
            <w:pPr>
              <w:spacing w:line="240" w:lineRule="auto"/>
            </w:pPr>
            <w:r>
              <w:rPr>
                <w:rFonts w:ascii="宋体" w:hAnsi="宋体" w:eastAsia="宋体"/>
                <w:b/>
                <w:color w:val="000000"/>
                <w:sz w:val="18"/>
              </w:rPr>
              <w:t>研究方向</w:t>
            </w:r>
          </w:p>
        </w:tc>
        <w:tc>
          <w:tcPr>
            <w:tcW w:type="dxa" w:w="1417"/>
          </w:tcPr>
          <w:p>
            <w:pPr>
              <w:spacing w:line="240" w:lineRule="auto"/>
            </w:pPr>
            <w:r>
              <w:rPr>
                <w:rFonts w:ascii="宋体" w:hAnsi="宋体" w:eastAsia="宋体"/>
                <w:b/>
                <w:color w:val="000000"/>
                <w:sz w:val="18"/>
              </w:rPr>
              <w:t>联系电话</w:t>
            </w:r>
          </w:p>
        </w:tc>
        <w:tc>
          <w:tcPr>
            <w:tcW w:type="dxa" w:w="1417"/>
          </w:tcPr>
          <w:p>
            <w:pPr>
              <w:spacing w:line="240" w:lineRule="auto"/>
            </w:pPr>
            <w:r>
              <w:rPr>
                <w:rFonts w:ascii="宋体" w:hAnsi="宋体" w:eastAsia="宋体"/>
                <w:b/>
                <w:color w:val="000000"/>
                <w:sz w:val="18"/>
              </w:rPr>
              <w:t>联系邮箱</w:t>
            </w:r>
          </w:p>
        </w:tc>
      </w:tr>
      <w:tr>
        <w:tc>
          <w:tcPr>
            <w:tcW w:type="dxa" w:w="1417"/>
          </w:tcPr>
          <w:p>
            <w:pPr>
              <w:spacing w:line="240" w:lineRule="auto"/>
            </w:pPr>
            <w:r>
              <w:rPr>
                <w:rFonts w:ascii="宋体" w:hAnsi="宋体" w:eastAsia="宋体"/>
                <w:b w:val="0"/>
                <w:color w:val="000000"/>
                <w:sz w:val="18"/>
              </w:rPr>
              <w:t>刘冬梅</w:t>
            </w:r>
          </w:p>
        </w:tc>
        <w:tc>
          <w:tcPr>
            <w:tcW w:type="dxa" w:w="1417"/>
          </w:tcPr>
          <w:p>
            <w:pPr>
              <w:spacing w:line="240" w:lineRule="auto"/>
            </w:pPr>
            <w:r>
              <w:rPr>
                <w:rFonts w:ascii="宋体" w:hAnsi="宋体" w:eastAsia="宋体"/>
                <w:b w:val="0"/>
                <w:color w:val="000000"/>
                <w:sz w:val="18"/>
              </w:rPr>
              <w:t>计算机与人工智能学院</w:t>
            </w:r>
          </w:p>
        </w:tc>
        <w:tc>
          <w:tcPr>
            <w:tcW w:type="dxa" w:w="1417"/>
          </w:tcPr>
          <w:p>
            <w:pPr>
              <w:spacing w:line="240" w:lineRule="auto"/>
            </w:pPr>
            <w:r>
              <w:rPr>
                <w:rFonts w:ascii="宋体" w:hAnsi="宋体" w:eastAsia="宋体"/>
                <w:b w:val="0"/>
                <w:color w:val="000000"/>
                <w:sz w:val="18"/>
              </w:rPr>
              <w:t>讲师</w:t>
            </w:r>
          </w:p>
        </w:tc>
        <w:tc>
          <w:tcPr>
            <w:tcW w:type="dxa" w:w="1417"/>
          </w:tcPr>
          <w:p>
            <w:pPr>
              <w:spacing w:line="240" w:lineRule="auto"/>
            </w:pPr>
            <w:r>
              <w:rPr>
                <w:rFonts w:ascii="宋体" w:hAnsi="宋体" w:eastAsia="宋体"/>
                <w:b w:val="0"/>
                <w:color w:val="000000"/>
                <w:sz w:val="18"/>
              </w:rPr>
              <w:t>电子信息</w:t>
            </w:r>
          </w:p>
        </w:tc>
        <w:tc>
          <w:tcPr>
            <w:tcW w:type="dxa" w:w="1417"/>
          </w:tcPr>
          <w:p>
            <w:pPr>
              <w:spacing w:line="240" w:lineRule="auto"/>
            </w:pPr>
            <w:r>
              <w:rPr>
                <w:rFonts w:ascii="宋体" w:hAnsi="宋体" w:eastAsia="宋体"/>
                <w:b w:val="0"/>
                <w:color w:val="000000"/>
                <w:sz w:val="18"/>
              </w:rPr>
              <w:t>13589083387</w:t>
            </w:r>
          </w:p>
        </w:tc>
        <w:tc>
          <w:tcPr>
            <w:tcW w:type="dxa" w:w="1417"/>
          </w:tcPr>
          <w:p>
            <w:pPr>
              <w:spacing w:line="240" w:lineRule="auto"/>
            </w:pPr>
            <w:r>
              <w:rPr>
                <w:rFonts w:ascii="宋体" w:hAnsi="宋体" w:eastAsia="宋体"/>
                <w:b w:val="0"/>
                <w:color w:val="000000"/>
                <w:sz w:val="18"/>
              </w:rPr>
              <w:t>liudm@sdnu.edu.cn</w:t>
            </w:r>
          </w:p>
        </w:tc>
      </w:tr>
    </w:tbl>
    <w:p>
      <w:pPr>
        <w:spacing w:line="240" w:lineRule="auto" w:after="40"/>
      </w:pPr>
      <w:r>
        <w:rPr>
          <w:rFonts w:ascii="宋体" w:hAnsi="宋体" w:eastAsia="宋体"/>
          <w:b w:val="0"/>
          <w:color w:val="000000"/>
          <w:sz w:val="21"/>
        </w:rPr>
      </w:r>
    </w:p>
    <w:p>
      <w:pPr>
        <w:spacing w:line="240" w:lineRule="auto" w:after="120"/>
      </w:pPr>
      <w:r>
        <w:rPr>
          <w:rFonts w:ascii="宋体" w:hAnsi="宋体" w:eastAsia="宋体"/>
          <w:b/>
          <w:color w:val="000000"/>
          <w:sz w:val="24"/>
        </w:rPr>
        <w:t>（三）团队成员优势描述</w:t>
      </w:r>
    </w:p>
    <w:p>
      <w:pPr>
        <w:spacing w:line="240" w:lineRule="auto" w:after="80"/>
      </w:pPr>
      <w:r>
        <w:rPr>
          <w:rFonts w:ascii="宋体" w:hAnsi="宋体" w:eastAsia="宋体"/>
          <w:b w:val="0"/>
          <w:color w:val="000000"/>
          <w:sz w:val="21"/>
        </w:rPr>
        <w:t>队长曾获小米杯国奖、数学建模比赛省奖，具备完整项目从零到一的带队经验。队员有蓝桥杯省赛、数学建模比赛获奖经历，在算法设计与前端工程方向积累了扎实的实战能力。</w:t>
      </w:r>
    </w:p>
    <w:p>
      <w:pPr>
        <w:spacing w:line="240" w:lineRule="auto" w:after="80"/>
      </w:pPr>
      <w:r>
        <w:rPr>
          <w:rFonts w:ascii="宋体" w:hAnsi="宋体" w:eastAsia="宋体"/>
          <w:b w:val="0"/>
          <w:color w:val="000000"/>
          <w:sz w:val="21"/>
        </w:rPr>
        <w:t>队长擅长分布式系统架构设计与 TypeScript 工程化开发，在本项目中负责五大 Agent 联邦的整体架构规划、MessageBus 异步通信总线的搭建、感知 Agent 四大通道与记忆 Agent 三层存储体系的实现、决策 Agent 的 L2DeepPlanner 与 InterventionTimer 核心逻辑编码，以及安全层防护机制的设计。</w:t>
      </w:r>
    </w:p>
    <w:p>
      <w:pPr>
        <w:spacing w:line="240" w:lineRule="auto" w:after="80"/>
      </w:pPr>
      <w:r>
        <w:rPr>
          <w:rFonts w:ascii="宋体" w:hAnsi="宋体" w:eastAsia="宋体"/>
          <w:b w:val="0"/>
          <w:color w:val="000000"/>
          <w:sz w:val="21"/>
        </w:rPr>
        <w:t>队员擅长 React + TypeScript + Framer Motion 前端开发与产品叙事设计，负责可视化面板全站构建——功能滑动卡片、Agent 架构可视化页面、跨端设备演示组件、LetterSwap 交互动效及全局过渡动画；同时承担产品定位与用户场景梳理、鸿蒙生态竞品分析、市场前景评估，以及架构海报与品牌视觉体系输出。</w:t>
      </w:r>
    </w:p>
    <w:p>
      <w:r>
        <w:br w:type="page"/>
      </w:r>
    </w:p>
    <w:p>
      <w:pPr>
        <w:spacing w:line="240" w:lineRule="auto" w:after="240"/>
      </w:pPr>
      <w:r>
        <w:rPr>
          <w:rFonts w:ascii="宋体" w:hAnsi="宋体" w:eastAsia="宋体"/>
          <w:b/>
          <w:color w:val="000000"/>
          <w:sz w:val="32"/>
        </w:rPr>
        <w:t>二、作品原创性声明</w:t>
      </w:r>
    </w:p>
    <w:p>
      <w:pPr>
        <w:spacing w:line="240" w:lineRule="auto" w:after="200"/>
      </w:pPr>
      <w:r>
        <w:rPr>
          <w:rFonts w:ascii="宋体" w:hAnsi="宋体" w:eastAsia="宋体"/>
          <w:b/>
          <w:color w:val="000000"/>
          <w:sz w:val="28"/>
        </w:rPr>
        <w:t>“同频” Same Wavelength 作品原创性声明</w:t>
      </w:r>
    </w:p>
    <w:p>
      <w:pPr>
        <w:spacing w:line="240" w:lineRule="auto" w:after="280"/>
      </w:pPr>
      <w:r>
        <w:rPr>
          <w:rFonts w:ascii="宋体" w:hAnsi="宋体" w:eastAsia="宋体"/>
          <w:b w:val="0"/>
          <w:color w:val="000000"/>
          <w:sz w:val="21"/>
        </w:rPr>
        <w:t>郑重声明：承诺本参赛队伍报名信息真实有效；呈交的参赛作品相关资料以及所完成的作品实物等相关成果，是本团队独立进行研究工作所取得的成果，除文中已经注明引用的内容外，本作品说明文档不包含任何其他个人或集体已经发表或撰写过的作品成果，不侵犯任何第三方的知识产权或其他权利。本声明的法律结果由本参赛队承担。</w:t>
      </w:r>
    </w:p>
    <w:p>
      <w:pPr>
        <w:spacing w:line="240" w:lineRule="auto" w:after="40"/>
      </w:pPr>
      <w:r>
        <w:rPr>
          <w:rFonts w:ascii="宋体" w:hAnsi="宋体" w:eastAsia="宋体"/>
          <w:b w:val="0"/>
          <w:color w:val="000000"/>
          <w:sz w:val="21"/>
        </w:rPr>
        <w:t>参赛队员签名（团队全部成员）：</w:t>
      </w:r>
    </w:p>
    <w:p>
      <w:pPr>
        <w:spacing w:before="40" w:after="80" w:line="240" w:lineRule="auto"/>
      </w:pPr>
      <w:r>
        <w:drawing>
          <wp:inline xmlns:a="http://schemas.openxmlformats.org/drawingml/2006/main" xmlns:pic="http://schemas.openxmlformats.org/drawingml/2006/picture">
            <wp:extent cx="2015999" cy="508326"/>
            <wp:docPr id="1" name="Picture 1"/>
            <wp:cNvGraphicFramePr>
              <a:graphicFrameLocks noChangeAspect="1"/>
            </wp:cNvGraphicFramePr>
            <a:graphic>
              <a:graphicData uri="http://schemas.openxmlformats.org/drawingml/2006/picture">
                <pic:pic>
                  <pic:nvPicPr>
                    <pic:cNvPr id="0" name="签名-队员.png"/>
                    <pic:cNvPicPr/>
                  </pic:nvPicPr>
                  <pic:blipFill>
                    <a:blip r:embed="rId10"/>
                    <a:stretch>
                      <a:fillRect/>
                    </a:stretch>
                  </pic:blipFill>
                  <pic:spPr>
                    <a:xfrm>
                      <a:off x="0" y="0"/>
                      <a:ext cx="2015999" cy="508326"/>
                    </a:xfrm>
                    <a:prstGeom prst="rect"/>
                  </pic:spPr>
                </pic:pic>
              </a:graphicData>
            </a:graphic>
          </wp:inline>
        </w:drawing>
      </w:r>
    </w:p>
    <w:p>
      <w:pPr>
        <w:spacing w:line="240" w:lineRule="auto" w:after="360"/>
        <w:jc w:val="right"/>
      </w:pPr>
      <w:r>
        <w:rPr>
          <w:rFonts w:ascii="宋体" w:hAnsi="宋体" w:eastAsia="宋体"/>
          <w:b w:val="0"/>
          <w:color w:val="000000"/>
          <w:sz w:val="21"/>
        </w:rPr>
        <w:t>日期：  2026  年   9   月   29  日</w:t>
      </w:r>
    </w:p>
    <w:p>
      <w:pPr>
        <w:spacing w:line="240" w:lineRule="auto" w:after="40"/>
      </w:pPr>
      <w:r>
        <w:rPr>
          <w:rFonts w:ascii="宋体" w:hAnsi="宋体" w:eastAsia="宋体"/>
          <w:b w:val="0"/>
          <w:color w:val="000000"/>
          <w:sz w:val="21"/>
        </w:rPr>
        <w:t>指导老师审核签名：</w:t>
      </w:r>
    </w:p>
    <w:p>
      <w:pPr>
        <w:spacing w:before="40" w:after="80" w:line="240" w:lineRule="auto"/>
      </w:pPr>
      <w:r>
        <w:drawing>
          <wp:inline xmlns:a="http://schemas.openxmlformats.org/drawingml/2006/main" xmlns:pic="http://schemas.openxmlformats.org/drawingml/2006/picture">
            <wp:extent cx="1224000" cy="582344"/>
            <wp:docPr id="2" name="Picture 2"/>
            <wp:cNvGraphicFramePr>
              <a:graphicFrameLocks noChangeAspect="1"/>
            </wp:cNvGraphicFramePr>
            <a:graphic>
              <a:graphicData uri="http://schemas.openxmlformats.org/drawingml/2006/picture">
                <pic:pic>
                  <pic:nvPicPr>
                    <pic:cNvPr id="0" name="签名-教师.png"/>
                    <pic:cNvPicPr/>
                  </pic:nvPicPr>
                  <pic:blipFill>
                    <a:blip r:embed="rId11"/>
                    <a:stretch>
                      <a:fillRect/>
                    </a:stretch>
                  </pic:blipFill>
                  <pic:spPr>
                    <a:xfrm>
                      <a:off x="0" y="0"/>
                      <a:ext cx="1224000" cy="582344"/>
                    </a:xfrm>
                    <a:prstGeom prst="rect"/>
                  </pic:spPr>
                </pic:pic>
              </a:graphicData>
            </a:graphic>
          </wp:inline>
        </w:drawing>
      </w:r>
    </w:p>
    <w:p>
      <w:pPr>
        <w:spacing w:line="240" w:lineRule="auto" w:after="200"/>
        <w:jc w:val="right"/>
      </w:pPr>
      <w:r>
        <w:rPr>
          <w:rFonts w:ascii="宋体" w:hAnsi="宋体" w:eastAsia="宋体"/>
          <w:b w:val="0"/>
          <w:color w:val="000000"/>
          <w:sz w:val="21"/>
        </w:rPr>
        <w:t>日期：  2026  年   9   月   29  日</w:t>
      </w:r>
    </w:p>
    <w:p>
      <w:r>
        <w:br w:type="page"/>
      </w:r>
    </w:p>
    <w:p>
      <w:pPr>
        <w:spacing w:line="240" w:lineRule="auto" w:after="240"/>
      </w:pPr>
      <w:r>
        <w:rPr>
          <w:rFonts w:ascii="宋体" w:hAnsi="宋体" w:eastAsia="宋体"/>
          <w:b/>
          <w:color w:val="000000"/>
          <w:sz w:val="32"/>
        </w:rPr>
        <w:t>三、创意描述</w:t>
      </w:r>
    </w:p>
    <w:p>
      <w:pPr>
        <w:spacing w:line="240" w:lineRule="auto" w:after="200"/>
      </w:pPr>
      <w:r>
        <w:rPr>
          <w:rFonts w:ascii="宋体" w:hAnsi="宋体" w:eastAsia="宋体"/>
          <w:b w:val="0"/>
          <w:color w:val="000000"/>
          <w:sz w:val="21"/>
        </w:rPr>
        <w:t>「同频」把"该不该出现"前置为独立决策层：五大 Agent 联邦以情绪×社交意愿九宫格判定是否介入，L2 生成渐进任务链，安全层四级响应兜底，让鸿蒙端侧 AI 陪伴从"有问必答"转向"先学会克制"。</w:t>
      </w:r>
    </w:p>
    <w:p>
      <w:pPr>
        <w:spacing w:line="240" w:lineRule="auto" w:after="240"/>
      </w:pPr>
      <w:r>
        <w:rPr>
          <w:rFonts w:ascii="宋体" w:hAnsi="宋体" w:eastAsia="宋体"/>
          <w:b/>
          <w:color w:val="000000"/>
          <w:sz w:val="32"/>
        </w:rPr>
        <w:t>四、设计稿</w:t>
      </w:r>
    </w:p>
    <w:p>
      <w:pPr>
        <w:spacing w:line="240" w:lineRule="auto" w:after="200"/>
      </w:pPr>
      <w:r>
        <w:rPr>
          <w:rFonts w:ascii="宋体" w:hAnsi="宋体" w:eastAsia="宋体"/>
          <w:b w:val="0"/>
          <w:color w:val="000000"/>
          <w:sz w:val="21"/>
        </w:rPr>
        <w:t>以下为作品实际运行界面截图（视口 1600×1000），展示视觉设计与交互逻辑。</w:t>
      </w:r>
    </w:p>
    <w:p>
      <w:pPr>
        <w:spacing w:after="80"/>
        <w:jc w:val="center"/>
      </w:pPr>
      <w:r>
        <w:drawing>
          <wp:inline xmlns:a="http://schemas.openxmlformats.org/drawingml/2006/main" xmlns:pic="http://schemas.openxmlformats.org/drawingml/2006/picture">
            <wp:extent cx="3256865" cy="6299998"/>
            <wp:docPr id="3" name="Picture 3"/>
            <wp:cNvGraphicFramePr>
              <a:graphicFrameLocks noChangeAspect="1"/>
            </wp:cNvGraphicFramePr>
            <a:graphic>
              <a:graphicData uri="http://schemas.openxmlformats.org/drawingml/2006/picture">
                <pic:pic>
                  <pic:nvPicPr>
                    <pic:cNvPr id="0" name="01-开场页.png"/>
                    <pic:cNvPicPr/>
                  </pic:nvPicPr>
                  <pic:blipFill>
                    <a:blip r:embed="rId12"/>
                    <a:stretch>
                      <a:fillRect/>
                    </a:stretch>
                  </pic:blipFill>
                  <pic:spPr>
                    <a:xfrm>
                      <a:off x="0" y="0"/>
                      <a:ext cx="3256865" cy="6299998"/>
                    </a:xfrm>
                    <a:prstGeom prst="rect"/>
                  </pic:spPr>
                </pic:pic>
              </a:graphicData>
            </a:graphic>
          </wp:inline>
        </w:drawing>
      </w:r>
    </w:p>
    <w:p>
      <w:pPr>
        <w:spacing w:line="240" w:lineRule="auto" w:after="240"/>
        <w:jc w:val="center"/>
      </w:pPr>
      <w:r>
        <w:rPr>
          <w:rFonts w:ascii="宋体" w:hAnsi="宋体" w:eastAsia="宋体"/>
          <w:b w:val="0"/>
          <w:color w:val="000000"/>
          <w:sz w:val="18"/>
        </w:rPr>
        <w:t>图 1  产品开场页</w:t>
      </w:r>
    </w:p>
    <w:p>
      <w:pPr>
        <w:spacing w:after="80"/>
        <w:jc w:val="center"/>
      </w:pPr>
      <w:r>
        <w:drawing>
          <wp:inline xmlns:a="http://schemas.openxmlformats.org/drawingml/2006/main" xmlns:pic="http://schemas.openxmlformats.org/drawingml/2006/picture">
            <wp:extent cx="5400000" cy="3235700"/>
            <wp:docPr id="4" name="Picture 4"/>
            <wp:cNvGraphicFramePr>
              <a:graphicFrameLocks noChangeAspect="1"/>
            </wp:cNvGraphicFramePr>
            <a:graphic>
              <a:graphicData uri="http://schemas.openxmlformats.org/drawingml/2006/picture">
                <pic:pic>
                  <pic:nvPicPr>
                    <pic:cNvPr id="0" name="02-系统总览-状态输入台.png"/>
                    <pic:cNvPicPr/>
                  </pic:nvPicPr>
                  <pic:blipFill>
                    <a:blip r:embed="rId13"/>
                    <a:stretch>
                      <a:fillRect/>
                    </a:stretch>
                  </pic:blipFill>
                  <pic:spPr>
                    <a:xfrm>
                      <a:off x="0" y="0"/>
                      <a:ext cx="5400000" cy="3235700"/>
                    </a:xfrm>
                    <a:prstGeom prst="rect"/>
                  </pic:spPr>
                </pic:pic>
              </a:graphicData>
            </a:graphic>
          </wp:inline>
        </w:drawing>
      </w:r>
    </w:p>
    <w:p>
      <w:pPr>
        <w:spacing w:line="240" w:lineRule="auto" w:after="240"/>
        <w:jc w:val="center"/>
      </w:pPr>
      <w:r>
        <w:rPr>
          <w:rFonts w:ascii="宋体" w:hAnsi="宋体" w:eastAsia="宋体"/>
          <w:b w:val="0"/>
          <w:color w:val="000000"/>
          <w:sz w:val="18"/>
        </w:rPr>
        <w:t>图 2  系统总览 · 状态输入台</w:t>
      </w:r>
    </w:p>
    <w:p>
      <w:pPr>
        <w:spacing w:after="80"/>
        <w:jc w:val="center"/>
      </w:pPr>
      <w:r>
        <w:drawing>
          <wp:inline xmlns:a="http://schemas.openxmlformats.org/drawingml/2006/main" xmlns:pic="http://schemas.openxmlformats.org/drawingml/2006/picture">
            <wp:extent cx="5400000" cy="3235700"/>
            <wp:docPr id="5" name="Picture 5"/>
            <wp:cNvGraphicFramePr>
              <a:graphicFrameLocks noChangeAspect="1"/>
            </wp:cNvGraphicFramePr>
            <a:graphic>
              <a:graphicData uri="http://schemas.openxmlformats.org/drawingml/2006/picture">
                <pic:pic>
                  <pic:nvPicPr>
                    <pic:cNvPr id="0" name="03-系统总览-L1决策矩阵.png"/>
                    <pic:cNvPicPr/>
                  </pic:nvPicPr>
                  <pic:blipFill>
                    <a:blip r:embed="rId14"/>
                    <a:stretch>
                      <a:fillRect/>
                    </a:stretch>
                  </pic:blipFill>
                  <pic:spPr>
                    <a:xfrm>
                      <a:off x="0" y="0"/>
                      <a:ext cx="5400000" cy="3235700"/>
                    </a:xfrm>
                    <a:prstGeom prst="rect"/>
                  </pic:spPr>
                </pic:pic>
              </a:graphicData>
            </a:graphic>
          </wp:inline>
        </w:drawing>
      </w:r>
    </w:p>
    <w:p>
      <w:pPr>
        <w:spacing w:line="240" w:lineRule="auto" w:after="240"/>
        <w:jc w:val="center"/>
      </w:pPr>
      <w:r>
        <w:rPr>
          <w:rFonts w:ascii="宋体" w:hAnsi="宋体" w:eastAsia="宋体"/>
          <w:b w:val="0"/>
          <w:color w:val="000000"/>
          <w:sz w:val="18"/>
        </w:rPr>
        <w:t>图 3  系统总览 · L1 决策矩阵（九宫格）</w:t>
      </w:r>
    </w:p>
    <w:p>
      <w:r>
        <w:br w:type="page"/>
      </w:r>
    </w:p>
    <w:p>
      <w:pPr>
        <w:spacing w:after="80"/>
        <w:jc w:val="center"/>
      </w:pPr>
      <w:r>
        <w:drawing>
          <wp:inline xmlns:a="http://schemas.openxmlformats.org/drawingml/2006/main" xmlns:pic="http://schemas.openxmlformats.org/drawingml/2006/picture">
            <wp:extent cx="5400000" cy="3235700"/>
            <wp:docPr id="6" name="Picture 6"/>
            <wp:cNvGraphicFramePr>
              <a:graphicFrameLocks noChangeAspect="1"/>
            </wp:cNvGraphicFramePr>
            <a:graphic>
              <a:graphicData uri="http://schemas.openxmlformats.org/drawingml/2006/picture">
                <pic:pic>
                  <pic:nvPicPr>
                    <pic:cNvPr id="0" name="04-系统总览-记忆与深度规划.png"/>
                    <pic:cNvPicPr/>
                  </pic:nvPicPr>
                  <pic:blipFill>
                    <a:blip r:embed="rId15"/>
                    <a:stretch>
                      <a:fillRect/>
                    </a:stretch>
                  </pic:blipFill>
                  <pic:spPr>
                    <a:xfrm>
                      <a:off x="0" y="0"/>
                      <a:ext cx="5400000" cy="3235700"/>
                    </a:xfrm>
                    <a:prstGeom prst="rect"/>
                  </pic:spPr>
                </pic:pic>
              </a:graphicData>
            </a:graphic>
          </wp:inline>
        </w:drawing>
      </w:r>
    </w:p>
    <w:p>
      <w:pPr>
        <w:spacing w:line="240" w:lineRule="auto" w:after="240"/>
        <w:jc w:val="center"/>
      </w:pPr>
      <w:r>
        <w:rPr>
          <w:rFonts w:ascii="宋体" w:hAnsi="宋体" w:eastAsia="宋体"/>
          <w:b w:val="0"/>
          <w:color w:val="000000"/>
          <w:sz w:val="18"/>
        </w:rPr>
        <w:t>图 4  系统总览 · 记忆与深度规划</w:t>
      </w:r>
    </w:p>
    <w:p>
      <w:pPr>
        <w:spacing w:after="80"/>
        <w:jc w:val="center"/>
      </w:pPr>
      <w:r>
        <w:drawing>
          <wp:inline xmlns:a="http://schemas.openxmlformats.org/drawingml/2006/main" xmlns:pic="http://schemas.openxmlformats.org/drawingml/2006/picture">
            <wp:extent cx="5400000" cy="3235700"/>
            <wp:docPr id="7" name="Picture 7"/>
            <wp:cNvGraphicFramePr>
              <a:graphicFrameLocks noChangeAspect="1"/>
            </wp:cNvGraphicFramePr>
            <a:graphic>
              <a:graphicData uri="http://schemas.openxmlformats.org/drawingml/2006/picture">
                <pic:pic>
                  <pic:nvPicPr>
                    <pic:cNvPr id="0" name="05-系统总览-Agent协作链.png"/>
                    <pic:cNvPicPr/>
                  </pic:nvPicPr>
                  <pic:blipFill>
                    <a:blip r:embed="rId16"/>
                    <a:stretch>
                      <a:fillRect/>
                    </a:stretch>
                  </pic:blipFill>
                  <pic:spPr>
                    <a:xfrm>
                      <a:off x="0" y="0"/>
                      <a:ext cx="5400000" cy="3235700"/>
                    </a:xfrm>
                    <a:prstGeom prst="rect"/>
                  </pic:spPr>
                </pic:pic>
              </a:graphicData>
            </a:graphic>
          </wp:inline>
        </w:drawing>
      </w:r>
    </w:p>
    <w:p>
      <w:pPr>
        <w:spacing w:line="240" w:lineRule="auto" w:after="240"/>
        <w:jc w:val="center"/>
      </w:pPr>
      <w:r>
        <w:rPr>
          <w:rFonts w:ascii="宋体" w:hAnsi="宋体" w:eastAsia="宋体"/>
          <w:b w:val="0"/>
          <w:color w:val="000000"/>
          <w:sz w:val="18"/>
        </w:rPr>
        <w:t>图 5  系统总览 · Agent 协作链</w:t>
      </w:r>
    </w:p>
    <w:p>
      <w:pPr>
        <w:spacing w:after="80"/>
        <w:jc w:val="center"/>
      </w:pPr>
      <w:r>
        <w:drawing>
          <wp:inline xmlns:a="http://schemas.openxmlformats.org/drawingml/2006/main" xmlns:pic="http://schemas.openxmlformats.org/drawingml/2006/picture">
            <wp:extent cx="5400000" cy="3235700"/>
            <wp:docPr id="8" name="Picture 8"/>
            <wp:cNvGraphicFramePr>
              <a:graphicFrameLocks noChangeAspect="1"/>
            </wp:cNvGraphicFramePr>
            <a:graphic>
              <a:graphicData uri="http://schemas.openxmlformats.org/drawingml/2006/picture">
                <pic:pic>
                  <pic:nvPicPr>
                    <pic:cNvPr id="0" name="06-系统总览-多端执行结果.png"/>
                    <pic:cNvPicPr/>
                  </pic:nvPicPr>
                  <pic:blipFill>
                    <a:blip r:embed="rId17"/>
                    <a:stretch>
                      <a:fillRect/>
                    </a:stretch>
                  </pic:blipFill>
                  <pic:spPr>
                    <a:xfrm>
                      <a:off x="0" y="0"/>
                      <a:ext cx="5400000" cy="3235700"/>
                    </a:xfrm>
                    <a:prstGeom prst="rect"/>
                  </pic:spPr>
                </pic:pic>
              </a:graphicData>
            </a:graphic>
          </wp:inline>
        </w:drawing>
      </w:r>
    </w:p>
    <w:p>
      <w:pPr>
        <w:spacing w:line="240" w:lineRule="auto" w:after="240"/>
        <w:jc w:val="center"/>
      </w:pPr>
      <w:r>
        <w:rPr>
          <w:rFonts w:ascii="宋体" w:hAnsi="宋体" w:eastAsia="宋体"/>
          <w:b w:val="0"/>
          <w:color w:val="000000"/>
          <w:sz w:val="18"/>
        </w:rPr>
        <w:t>图 6  系统总览 · 多端执行结果</w:t>
      </w:r>
    </w:p>
    <w:p>
      <w:pPr>
        <w:spacing w:after="80"/>
        <w:jc w:val="center"/>
      </w:pPr>
      <w:r>
        <w:drawing>
          <wp:inline xmlns:a="http://schemas.openxmlformats.org/drawingml/2006/main" xmlns:pic="http://schemas.openxmlformats.org/drawingml/2006/picture">
            <wp:extent cx="5400000" cy="3508772"/>
            <wp:docPr id="9" name="Picture 9"/>
            <wp:cNvGraphicFramePr>
              <a:graphicFrameLocks noChangeAspect="1"/>
            </wp:cNvGraphicFramePr>
            <a:graphic>
              <a:graphicData uri="http://schemas.openxmlformats.org/drawingml/2006/picture">
                <pic:pic>
                  <pic:nvPicPr>
                    <pic:cNvPr id="0" name="07-Agent架构.png"/>
                    <pic:cNvPicPr/>
                  </pic:nvPicPr>
                  <pic:blipFill>
                    <a:blip r:embed="rId18"/>
                    <a:stretch>
                      <a:fillRect/>
                    </a:stretch>
                  </pic:blipFill>
                  <pic:spPr>
                    <a:xfrm>
                      <a:off x="0" y="0"/>
                      <a:ext cx="5400000" cy="3508772"/>
                    </a:xfrm>
                    <a:prstGeom prst="rect"/>
                  </pic:spPr>
                </pic:pic>
              </a:graphicData>
            </a:graphic>
          </wp:inline>
        </w:drawing>
      </w:r>
    </w:p>
    <w:p>
      <w:pPr>
        <w:spacing w:line="240" w:lineRule="auto" w:after="240"/>
        <w:jc w:val="center"/>
      </w:pPr>
      <w:r>
        <w:rPr>
          <w:rFonts w:ascii="宋体" w:hAnsi="宋体" w:eastAsia="宋体"/>
          <w:b w:val="0"/>
          <w:color w:val="000000"/>
          <w:sz w:val="18"/>
        </w:rPr>
        <w:t>图 7  Agent 架构</w:t>
      </w:r>
    </w:p>
    <w:p>
      <w:pPr>
        <w:spacing w:after="80"/>
        <w:jc w:val="center"/>
      </w:pPr>
      <w:r>
        <w:drawing>
          <wp:inline xmlns:a="http://schemas.openxmlformats.org/drawingml/2006/main" xmlns:pic="http://schemas.openxmlformats.org/drawingml/2006/picture">
            <wp:extent cx="5400000" cy="3452632"/>
            <wp:docPr id="10" name="Picture 10"/>
            <wp:cNvGraphicFramePr>
              <a:graphicFrameLocks noChangeAspect="1"/>
            </wp:cNvGraphicFramePr>
            <a:graphic>
              <a:graphicData uri="http://schemas.openxmlformats.org/drawingml/2006/picture">
                <pic:pic>
                  <pic:nvPicPr>
                    <pic:cNvPr id="0" name="08-安全响应.png"/>
                    <pic:cNvPicPr/>
                  </pic:nvPicPr>
                  <pic:blipFill>
                    <a:blip r:embed="rId19"/>
                    <a:stretch>
                      <a:fillRect/>
                    </a:stretch>
                  </pic:blipFill>
                  <pic:spPr>
                    <a:xfrm>
                      <a:off x="0" y="0"/>
                      <a:ext cx="5400000" cy="3452632"/>
                    </a:xfrm>
                    <a:prstGeom prst="rect"/>
                  </pic:spPr>
                </pic:pic>
              </a:graphicData>
            </a:graphic>
          </wp:inline>
        </w:drawing>
      </w:r>
    </w:p>
    <w:p>
      <w:pPr>
        <w:spacing w:line="240" w:lineRule="auto" w:after="240"/>
        <w:jc w:val="center"/>
      </w:pPr>
      <w:r>
        <w:rPr>
          <w:rFonts w:ascii="宋体" w:hAnsi="宋体" w:eastAsia="宋体"/>
          <w:b w:val="0"/>
          <w:color w:val="000000"/>
          <w:sz w:val="18"/>
        </w:rPr>
        <w:t>图 8  安全响应（四级危机响应升级链）</w:t>
      </w:r>
    </w:p>
    <w:p>
      <w:pPr>
        <w:spacing w:after="80"/>
        <w:jc w:val="center"/>
      </w:pPr>
      <w:r>
        <w:drawing>
          <wp:inline xmlns:a="http://schemas.openxmlformats.org/drawingml/2006/main" xmlns:pic="http://schemas.openxmlformats.org/drawingml/2006/picture">
            <wp:extent cx="5400000" cy="3486375"/>
            <wp:docPr id="11" name="Picture 11"/>
            <wp:cNvGraphicFramePr>
              <a:graphicFrameLocks noChangeAspect="1"/>
            </wp:cNvGraphicFramePr>
            <a:graphic>
              <a:graphicData uri="http://schemas.openxmlformats.org/drawingml/2006/picture">
                <pic:pic>
                  <pic:nvPicPr>
                    <pic:cNvPr id="0" name="09-跨端流转.png"/>
                    <pic:cNvPicPr/>
                  </pic:nvPicPr>
                  <pic:blipFill>
                    <a:blip r:embed="rId20"/>
                    <a:stretch>
                      <a:fillRect/>
                    </a:stretch>
                  </pic:blipFill>
                  <pic:spPr>
                    <a:xfrm>
                      <a:off x="0" y="0"/>
                      <a:ext cx="5400000" cy="3486375"/>
                    </a:xfrm>
                    <a:prstGeom prst="rect"/>
                  </pic:spPr>
                </pic:pic>
              </a:graphicData>
            </a:graphic>
          </wp:inline>
        </w:drawing>
      </w:r>
    </w:p>
    <w:p>
      <w:pPr>
        <w:spacing w:line="240" w:lineRule="auto" w:after="240"/>
        <w:jc w:val="center"/>
      </w:pPr>
      <w:r>
        <w:rPr>
          <w:rFonts w:ascii="宋体" w:hAnsi="宋体" w:eastAsia="宋体"/>
          <w:b w:val="0"/>
          <w:color w:val="000000"/>
          <w:sz w:val="18"/>
        </w:rPr>
        <w:t>图 9  跨端流转</w:t>
      </w:r>
    </w:p>
    <w:p>
      <w:r>
        <w:br w:type="page"/>
      </w:r>
    </w:p>
    <w:p>
      <w:pPr>
        <w:spacing w:line="240" w:lineRule="auto" w:after="240"/>
      </w:pPr>
      <w:r>
        <w:rPr>
          <w:rFonts w:ascii="宋体" w:hAnsi="宋体" w:eastAsia="宋体"/>
          <w:b/>
          <w:color w:val="000000"/>
          <w:sz w:val="32"/>
        </w:rPr>
        <w:t>五、介绍文档</w:t>
      </w:r>
    </w:p>
    <w:p>
      <w:pPr>
        <w:spacing w:line="240" w:lineRule="auto" w:after="160"/>
      </w:pPr>
      <w:r>
        <w:rPr>
          <w:rFonts w:ascii="宋体" w:hAnsi="宋体" w:eastAsia="宋体"/>
          <w:b/>
          <w:color w:val="000000"/>
          <w:sz w:val="28"/>
        </w:rPr>
        <w:t>一、创意背景</w:t>
      </w:r>
    </w:p>
    <w:p>
      <w:pPr>
        <w:spacing w:line="240" w:lineRule="auto" w:after="120"/>
      </w:pPr>
      <w:r>
        <w:rPr>
          <w:rFonts w:ascii="宋体" w:hAnsi="宋体" w:eastAsia="宋体"/>
          <w:b w:val="0"/>
          <w:color w:val="000000"/>
          <w:sz w:val="21"/>
        </w:rPr>
        <w:t>中国每十万人仅有约 2.2 名精神科医生，超七成有心理困扰者从未获得专业帮助。大学生并不缺少倾诉渠道，缺的是一个在正确时机、以正确强度出现的陪伴者。</w:t>
      </w:r>
    </w:p>
    <w:p>
      <w:pPr>
        <w:spacing w:line="240" w:lineRule="auto" w:after="120"/>
      </w:pPr>
      <w:r>
        <w:rPr>
          <w:rFonts w:ascii="宋体" w:hAnsi="宋体" w:eastAsia="宋体"/>
          <w:b w:val="0"/>
          <w:color w:val="000000"/>
          <w:sz w:val="21"/>
        </w:rPr>
        <w:t>现有 AI 心理陪伴产品多用"有问必答"的响应式范式：用户开口才回应，情绪一波动就推送。但心理支持恰恰相反——深夜一条不合时宜的"你还好吗"，可能比沉默更让人疲惫。痛点是陪伴的时机与强度失控。</w:t>
      </w:r>
    </w:p>
    <w:p>
      <w:pPr>
        <w:spacing w:line="240" w:lineRule="auto" w:after="120"/>
      </w:pPr>
      <w:r>
        <w:rPr>
          <w:rFonts w:ascii="宋体" w:hAnsi="宋体" w:eastAsia="宋体"/>
          <w:b w:val="0"/>
          <w:color w:val="000000"/>
          <w:sz w:val="21"/>
        </w:rPr>
        <w:t>同时，对话与生理数据一旦上云，隐私顾虑便难以消除。鸿蒙的端侧推理与分布式能力，为"数据不出设备"提供了系统级解法。「同频」为此设计：先判断"该不该出现"，再决定"如何出现"。</w:t>
      </w:r>
    </w:p>
    <w:p>
      <w:pPr>
        <w:spacing w:line="240" w:lineRule="auto" w:after="160"/>
      </w:pPr>
      <w:r>
        <w:rPr>
          <w:rFonts w:ascii="宋体" w:hAnsi="宋体" w:eastAsia="宋体"/>
          <w:b/>
          <w:color w:val="000000"/>
          <w:sz w:val="28"/>
        </w:rPr>
        <w:t>二、核心功能设计</w:t>
      </w:r>
    </w:p>
    <w:p>
      <w:pPr>
        <w:spacing w:line="240" w:lineRule="auto" w:after="120"/>
      </w:pPr>
      <w:r>
        <w:rPr>
          <w:rFonts w:ascii="宋体" w:hAnsi="宋体" w:eastAsia="宋体"/>
          <w:b/>
          <w:color w:val="000000"/>
          <w:sz w:val="24"/>
        </w:rPr>
        <w:t>2.1 五大 Agent 联邦</w:t>
      </w:r>
    </w:p>
    <w:p>
      <w:pPr>
        <w:spacing w:line="240" w:lineRule="auto" w:after="120"/>
      </w:pPr>
      <w:r>
        <w:rPr>
          <w:rFonts w:ascii="宋体" w:hAnsi="宋体" w:eastAsia="宋体"/>
          <w:b w:val="0"/>
          <w:color w:val="000000"/>
          <w:sz w:val="21"/>
        </w:rPr>
        <w:t>系统由五个独立运行、经 MessageBus 异步总线协同的 Agent 组成，遵循鸿蒙事件驱动范式而非轮询式单体应用：感知 Agent 采集信号并构建快照；记忆 Agent 负责三层记忆读写；决策 Agent 负责 L1 判定与 L2 规划；安全 Agent 常驻巡检；执行 Agent 负责卡片生成与跨端分发。</w:t>
      </w:r>
    </w:p>
    <w:p>
      <w:pPr>
        <w:spacing w:line="240" w:lineRule="auto" w:after="120"/>
      </w:pPr>
      <w:r>
        <w:rPr>
          <w:rFonts w:ascii="宋体" w:hAnsi="宋体" w:eastAsia="宋体"/>
          <w:b/>
          <w:color w:val="000000"/>
          <w:sz w:val="24"/>
        </w:rPr>
        <w:t>2.2 感知层：四通道对接鸿蒙系统能力</w:t>
      </w:r>
    </w:p>
    <w:p>
      <w:pPr>
        <w:pStyle w:val="ListBullet"/>
        <w:spacing w:line="240" w:lineRule="auto" w:after="60"/>
      </w:pPr>
      <w:r>
        <w:rPr>
          <w:rFonts w:ascii="宋体" w:hAnsi="宋体" w:eastAsia="宋体"/>
          <w:b w:val="0"/>
          <w:color w:val="000000"/>
          <w:sz w:val="21"/>
        </w:rPr>
        <w:t>健康通道：调用 Health Kit 获取睡眠、心率、压力摘要（系统事件推送）</w:t>
      </w:r>
    </w:p>
    <w:p>
      <w:pPr>
        <w:pStyle w:val="ListBullet"/>
        <w:spacing w:line="240" w:lineRule="auto" w:after="60"/>
      </w:pPr>
      <w:r>
        <w:rPr>
          <w:rFonts w:ascii="宋体" w:hAnsi="宋体" w:eastAsia="宋体"/>
          <w:b w:val="0"/>
          <w:color w:val="000000"/>
          <w:sz w:val="21"/>
        </w:rPr>
        <w:t>环境通道：调用位置、天气、日历 API 获取情境上下文</w:t>
      </w:r>
    </w:p>
    <w:p>
      <w:pPr>
        <w:pStyle w:val="ListBullet"/>
        <w:spacing w:line="240" w:lineRule="auto" w:after="60"/>
      </w:pPr>
      <w:r>
        <w:rPr>
          <w:rFonts w:ascii="宋体" w:hAnsi="宋体" w:eastAsia="宋体"/>
          <w:b w:val="0"/>
          <w:color w:val="000000"/>
          <w:sz w:val="21"/>
        </w:rPr>
        <w:t>行为通道：调用 UsageStats 获取应用使用时长聚合数据</w:t>
      </w:r>
    </w:p>
    <w:p>
      <w:pPr>
        <w:pStyle w:val="ListBullet"/>
        <w:spacing w:line="240" w:lineRule="auto" w:after="60"/>
      </w:pPr>
      <w:r>
        <w:rPr>
          <w:rFonts w:ascii="宋体" w:hAnsi="宋体" w:eastAsia="宋体"/>
          <w:b w:val="0"/>
          <w:color w:val="000000"/>
          <w:sz w:val="21"/>
        </w:rPr>
        <w:t>对话通道：经小艺端侧 NLU 完成意图识别</w:t>
      </w:r>
    </w:p>
    <w:p>
      <w:pPr>
        <w:spacing w:line="240" w:lineRule="auto" w:after="120"/>
      </w:pPr>
      <w:r>
        <w:rPr>
          <w:rFonts w:ascii="宋体" w:hAnsi="宋体" w:eastAsia="宋体"/>
          <w:b w:val="0"/>
          <w:color w:val="000000"/>
          <w:sz w:val="21"/>
        </w:rPr>
        <w:t>四路信号由 SnapshotBuilder 在端侧完成时序对齐与聚合，形成统一状态快照，原始数据不出设备。</w:t>
      </w:r>
    </w:p>
    <w:p>
      <w:pPr>
        <w:spacing w:line="240" w:lineRule="auto" w:after="120"/>
      </w:pPr>
      <w:r>
        <w:rPr>
          <w:rFonts w:ascii="宋体" w:hAnsi="宋体" w:eastAsia="宋体"/>
          <w:b/>
          <w:color w:val="000000"/>
          <w:sz w:val="24"/>
        </w:rPr>
        <w:t>2.3 决策层：先判断要不要出现</w:t>
      </w:r>
    </w:p>
    <w:p>
      <w:pPr>
        <w:spacing w:line="240" w:lineRule="auto" w:after="120"/>
      </w:pPr>
      <w:r>
        <w:rPr>
          <w:rFonts w:ascii="宋体" w:hAnsi="宋体" w:eastAsia="宋体"/>
          <w:b w:val="0"/>
          <w:color w:val="000000"/>
          <w:sz w:val="21"/>
        </w:rPr>
        <w:t>L1 快速决策以情绪与社交意愿为两轴构成九宫格，将状态映射到 9 个象限，每格对应不同介入策略——从"危机关怀"到"深度匹配"，也包括"不打扰"。这是与常规产品的最大差异：默认动作是不介入，而非推送。</w:t>
      </w:r>
    </w:p>
    <w:p>
      <w:pPr>
        <w:spacing w:line="240" w:lineRule="auto" w:after="120"/>
      </w:pPr>
      <w:r>
        <w:rPr>
          <w:rFonts w:ascii="宋体" w:hAnsi="宋体" w:eastAsia="宋体"/>
          <w:b w:val="0"/>
          <w:color w:val="000000"/>
          <w:sz w:val="21"/>
        </w:rPr>
        <w:t>L2 深度规划在 L1 判定需持续介入时触发，生成多步骤渐进任务链（如"共情对话→运动建议→效果评估"），按日追踪反馈并动态调整强度。</w:t>
      </w:r>
    </w:p>
    <w:p>
      <w:pPr>
        <w:spacing w:line="240" w:lineRule="auto" w:after="120"/>
      </w:pPr>
      <w:r>
        <w:rPr>
          <w:rFonts w:ascii="宋体" w:hAnsi="宋体" w:eastAsia="宋体"/>
          <w:b/>
          <w:color w:val="000000"/>
          <w:sz w:val="24"/>
        </w:rPr>
        <w:t>2.4 记忆层：三层记忆体系</w:t>
      </w:r>
    </w:p>
    <w:p>
      <w:pPr>
        <w:spacing w:line="240" w:lineRule="auto" w:after="120"/>
      </w:pPr>
      <w:r>
        <w:rPr>
          <w:rFonts w:ascii="宋体" w:hAnsi="宋体" w:eastAsia="宋体"/>
          <w:b w:val="0"/>
          <w:color w:val="000000"/>
          <w:sz w:val="21"/>
        </w:rPr>
        <w:t>瞬时记忆承载当前对话与近时段生理数据；短期记忆追踪近期情绪与社交趋势；长期记忆沉淀人格偏好、硬性约束（如勿扰时段）与有效干预方案。三层区分使系统能分辨"临时波动"与"长期性格"。记忆只补充背景，不替代对当下的判断。</w:t>
      </w:r>
    </w:p>
    <w:p>
      <w:pPr>
        <w:spacing w:line="240" w:lineRule="auto" w:after="120"/>
      </w:pPr>
      <w:r>
        <w:rPr>
          <w:rFonts w:ascii="宋体" w:hAnsi="宋体" w:eastAsia="宋体"/>
          <w:b/>
          <w:color w:val="000000"/>
          <w:sz w:val="24"/>
        </w:rPr>
        <w:t>2.5 安全层：常驻巡检与四级响应</w:t>
      </w:r>
    </w:p>
    <w:p>
      <w:pPr>
        <w:spacing w:line="240" w:lineRule="auto" w:after="120"/>
      </w:pPr>
      <w:r>
        <w:rPr>
          <w:rFonts w:ascii="宋体" w:hAnsi="宋体" w:eastAsia="宋体"/>
          <w:b w:val="0"/>
          <w:color w:val="000000"/>
          <w:sz w:val="21"/>
        </w:rPr>
        <w:t>安全 Agent 独立常驻，而非对话前置的被动过滤：对话护栏识别危机表达并按风险分级；推送预算限制单位时间主动触达，超限自动拦截；四级危机响应依次为延长陪伴→资源引导→征询授权→长期关怀。危机关键词命中时安全层接管，状态实时反映在运行总览中。</w:t>
      </w:r>
    </w:p>
    <w:p>
      <w:pPr>
        <w:spacing w:line="240" w:lineRule="auto" w:after="160"/>
      </w:pPr>
      <w:r>
        <w:rPr>
          <w:rFonts w:ascii="宋体" w:hAnsi="宋体" w:eastAsia="宋体"/>
          <w:b/>
          <w:color w:val="000000"/>
          <w:sz w:val="28"/>
        </w:rPr>
        <w:t>三、实现情况</w:t>
      </w:r>
    </w:p>
    <w:p>
      <w:pPr>
        <w:spacing w:line="240" w:lineRule="auto" w:after="120"/>
      </w:pPr>
      <w:r>
        <w:rPr>
          <w:rFonts w:ascii="宋体" w:hAnsi="宋体" w:eastAsia="宋体"/>
          <w:b w:val="0"/>
          <w:color w:val="000000"/>
          <w:sz w:val="21"/>
        </w:rPr>
        <w:t>核心引擎以 TypeScript 实现，51 个源文件约 12,800 行；可视化面板基于 React，30 个文件约 8,300 行。</w:t>
      </w:r>
    </w:p>
    <w:p>
      <w:pPr>
        <w:spacing w:line="240" w:lineRule="auto" w:after="120"/>
      </w:pPr>
      <w:r>
        <w:rPr>
          <w:rFonts w:ascii="宋体" w:hAnsi="宋体" w:eastAsia="宋体"/>
          <w:b w:val="0"/>
          <w:color w:val="000000"/>
          <w:sz w:val="21"/>
        </w:rPr>
        <w:t>已实现感知四通道、三层记忆与巩固召回、L1 九宫格与 L2 深度规划、四级危机响应、对话护栏与推送预算、四种预设模拟场景与仿真基准，以及上帝模式控制台。引擎与前端均不依赖特定硬件，本地一条命令即可运行。</w:t>
      </w:r>
    </w:p>
    <w:p>
      <w:pPr>
        <w:spacing w:line="240" w:lineRule="auto" w:after="120"/>
      </w:pPr>
      <w:r>
        <w:rPr>
          <w:rFonts w:ascii="宋体" w:hAnsi="宋体" w:eastAsia="宋体"/>
          <w:b w:val="0"/>
          <w:color w:val="000000"/>
          <w:sz w:val="21"/>
        </w:rPr>
        <w:t>鸿蒙原生能力（Health Kit、UsageStats、端侧 NLU、负一屏卡片、分布式软总线）目前已按系统 API 完成接口层对接与数据结构设计，ArkTS/ArkUI 迁移为下一阶段工作。</w:t>
      </w:r>
    </w:p>
    <w:p>
      <w:pPr>
        <w:spacing w:line="240" w:lineRule="auto" w:after="160"/>
      </w:pPr>
      <w:r>
        <w:rPr>
          <w:rFonts w:ascii="宋体" w:hAnsi="宋体" w:eastAsia="宋体"/>
          <w:b/>
          <w:color w:val="000000"/>
          <w:sz w:val="28"/>
        </w:rPr>
        <w:t>四、市场前景</w:t>
      </w:r>
    </w:p>
    <w:p>
      <w:pPr>
        <w:spacing w:line="240" w:lineRule="auto" w:after="120"/>
      </w:pPr>
      <w:r>
        <w:rPr>
          <w:rFonts w:ascii="宋体" w:hAnsi="宋体" w:eastAsia="宋体"/>
          <w:b w:val="0"/>
          <w:color w:val="000000"/>
          <w:sz w:val="21"/>
        </w:rPr>
        <w:t>全球数字心理健康市场持续增长，国内高校心理咨询资源长期供不应求，为低门槛、低打扰的数字化陪伴留出空间。</w:t>
      </w:r>
    </w:p>
    <w:p>
      <w:pPr>
        <w:spacing w:line="240" w:lineRule="auto" w:after="120"/>
      </w:pPr>
      <w:r>
        <w:rPr>
          <w:rFonts w:ascii="宋体" w:hAnsi="宋体" w:eastAsia="宋体"/>
          <w:b w:val="0"/>
          <w:color w:val="000000"/>
          <w:sz w:val="21"/>
        </w:rPr>
        <w:t>「同频」的三重差异：决策前置（先判断是否介入，天然低打扰）、端侧隐私（数据不出设备）、多端协同（手表轻提醒、手机承接细节）。</w:t>
      </w:r>
    </w:p>
    <w:p>
      <w:pPr>
        <w:spacing w:line="240" w:lineRule="auto" w:after="120"/>
      </w:pPr>
      <w:r>
        <w:rPr>
          <w:rFonts w:ascii="宋体" w:hAnsi="宋体" w:eastAsia="宋体"/>
          <w:b w:val="0"/>
          <w:color w:val="000000"/>
          <w:sz w:val="21"/>
        </w:rPr>
        <w:t>引擎与前端均不依赖特定硬件，可先以 Web／应用形态验证，再向鸿蒙多端延展。目标场景包括高校心理关怀、企业 EAP 与保险健康管理，付费路径清晰。</w:t>
      </w:r>
    </w:p>
    <w:sectPr w:rsidR="00FC693F" w:rsidRPr="0006063C" w:rsidSect="00034616">
      <w:footerReference w:type="default" r:id="rId9"/>
      <w:pgSz w:w="11906" w:h="16838"/>
      <w:pgMar w:top="1417" w:right="1701"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宋体" w:hAnsi="宋体" w:eastAsia="宋体"/>
        <w:b w:val="0"/>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