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CC53" w14:textId="386F7BC1" w:rsidR="00EE2AB3" w:rsidRPr="00887702" w:rsidRDefault="00EE2AB3" w:rsidP="009E0525">
      <w:pPr>
        <w:pStyle w:val="ListParagraph"/>
        <w:jc w:val="center"/>
        <w:rPr>
          <w:rFonts w:ascii="Arial" w:hAnsi="Arial" w:cs="Arial"/>
          <w:b/>
          <w:bCs/>
          <w:lang w:val="en-US"/>
        </w:rPr>
      </w:pPr>
      <w:r w:rsidRPr="00887702">
        <w:rPr>
          <w:rFonts w:ascii="Arial" w:hAnsi="Arial" w:cs="Arial"/>
          <w:b/>
          <w:bCs/>
          <w:lang w:val="en-US"/>
        </w:rPr>
        <w:t>Target super family classification</w:t>
      </w:r>
    </w:p>
    <w:p w14:paraId="6692AF63" w14:textId="77777777" w:rsidR="00EE2AB3" w:rsidRPr="00887702" w:rsidRDefault="00EE2AB3" w:rsidP="00EE2AB3">
      <w:pPr>
        <w:rPr>
          <w:rFonts w:ascii="Arial" w:hAnsi="Arial" w:cs="Arial"/>
          <w:b/>
          <w:bCs/>
          <w:lang w:val="en-US"/>
        </w:rPr>
      </w:pPr>
    </w:p>
    <w:p w14:paraId="708F0003" w14:textId="5DA50069" w:rsidR="00AC457D" w:rsidRPr="00887702" w:rsidRDefault="00AC457D" w:rsidP="00EE2AB3">
      <w:pPr>
        <w:rPr>
          <w:rFonts w:ascii="Arial" w:hAnsi="Arial" w:cs="Arial"/>
          <w:lang w:val="en-US"/>
        </w:rPr>
      </w:pPr>
      <w:r w:rsidRPr="00887702">
        <w:rPr>
          <w:rFonts w:ascii="Arial" w:hAnsi="Arial" w:cs="Arial"/>
          <w:lang w:val="en-US"/>
        </w:rPr>
        <w:t>In this project, we classified most targets into 13 protein superfamilies. Some of the remaining unclassified targets are placed under a 14th class, ‘Unknown’. The Names of these 14 classes are as follows:</w:t>
      </w:r>
    </w:p>
    <w:p w14:paraId="52A5FC24" w14:textId="77777777" w:rsidR="002A220A"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 xml:space="preserve">Adhesion </w:t>
      </w:r>
    </w:p>
    <w:p w14:paraId="5877BCA6" w14:textId="77777777" w:rsidR="002A220A"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Ion channel</w:t>
      </w:r>
    </w:p>
    <w:p w14:paraId="7F6CDD9F" w14:textId="77777777" w:rsidR="002A220A"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Kinase</w:t>
      </w:r>
    </w:p>
    <w:p w14:paraId="7FCCFA1A" w14:textId="77777777" w:rsidR="002A220A"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Enzyme</w:t>
      </w:r>
    </w:p>
    <w:p w14:paraId="07F8ED51" w14:textId="77777777" w:rsidR="002A220A"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GPCR</w:t>
      </w:r>
    </w:p>
    <w:p w14:paraId="5DEED4E6" w14:textId="77777777" w:rsidR="002A220A"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Transporter</w:t>
      </w:r>
    </w:p>
    <w:p w14:paraId="30D1D1BD" w14:textId="77777777" w:rsidR="002A220A"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Membrane receptor</w:t>
      </w:r>
    </w:p>
    <w:p w14:paraId="3DC23B36" w14:textId="77777777" w:rsidR="002A220A"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Secreted protein</w:t>
      </w:r>
    </w:p>
    <w:p w14:paraId="26D49857" w14:textId="77777777" w:rsidR="002A220A"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Structural protein</w:t>
      </w:r>
    </w:p>
    <w:p w14:paraId="009E5F60" w14:textId="77777777" w:rsidR="002A220A"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Epigenetic regulator</w:t>
      </w:r>
    </w:p>
    <w:p w14:paraId="18D738F6" w14:textId="77777777" w:rsidR="002A220A"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Nuclear receptor</w:t>
      </w:r>
    </w:p>
    <w:p w14:paraId="05A159E7" w14:textId="77777777" w:rsidR="002A220A"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Transcription factor</w:t>
      </w:r>
    </w:p>
    <w:p w14:paraId="7936009A" w14:textId="1A02A918" w:rsidR="00EE2AB3"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Surface antigen</w:t>
      </w:r>
    </w:p>
    <w:p w14:paraId="7D642631" w14:textId="061A2542" w:rsidR="002A220A" w:rsidRPr="00887702" w:rsidRDefault="002A220A" w:rsidP="002A220A">
      <w:pPr>
        <w:pStyle w:val="ListParagraph"/>
        <w:numPr>
          <w:ilvl w:val="0"/>
          <w:numId w:val="1"/>
        </w:numPr>
        <w:rPr>
          <w:rFonts w:ascii="Arial" w:hAnsi="Arial" w:cs="Arial"/>
          <w:lang w:val="en-US"/>
        </w:rPr>
      </w:pPr>
      <w:r w:rsidRPr="00887702">
        <w:rPr>
          <w:rFonts w:ascii="Arial" w:hAnsi="Arial" w:cs="Arial"/>
          <w:lang w:val="en-US"/>
        </w:rPr>
        <w:t>Unknown</w:t>
      </w:r>
    </w:p>
    <w:p w14:paraId="29BFE34E" w14:textId="77777777" w:rsidR="002A220A" w:rsidRPr="00887702" w:rsidRDefault="002A220A" w:rsidP="008B60AD">
      <w:pPr>
        <w:rPr>
          <w:rFonts w:ascii="Arial" w:hAnsi="Arial" w:cs="Arial"/>
          <w:lang w:val="en-US"/>
        </w:rPr>
      </w:pPr>
    </w:p>
    <w:p w14:paraId="2B46D0BE" w14:textId="77777777" w:rsidR="008B60AD" w:rsidRPr="00887702" w:rsidRDefault="008B60AD" w:rsidP="008B60AD">
      <w:pPr>
        <w:keepNext/>
        <w:rPr>
          <w:rFonts w:ascii="Arial" w:hAnsi="Arial" w:cs="Arial"/>
        </w:rPr>
      </w:pPr>
      <w:r w:rsidRPr="00887702">
        <w:rPr>
          <w:rFonts w:ascii="Arial" w:hAnsi="Arial" w:cs="Arial"/>
          <w:noProof/>
          <w:lang w:val="en-US"/>
          <w14:ligatures w14:val="standardContextual"/>
        </w:rPr>
        <w:drawing>
          <wp:inline distT="0" distB="0" distL="0" distR="0" wp14:anchorId="25010F93" wp14:editId="2696C136">
            <wp:extent cx="5731510" cy="3790950"/>
            <wp:effectExtent l="0" t="0" r="0" b="6350"/>
            <wp:docPr id="1630709423"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09423" name="Picture 1" descr="A diagram of data flow&#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790950"/>
                    </a:xfrm>
                    <a:prstGeom prst="rect">
                      <a:avLst/>
                    </a:prstGeom>
                  </pic:spPr>
                </pic:pic>
              </a:graphicData>
            </a:graphic>
          </wp:inline>
        </w:drawing>
      </w:r>
    </w:p>
    <w:p w14:paraId="22C830B1" w14:textId="54FD37B8" w:rsidR="008B60AD" w:rsidRPr="00887702" w:rsidRDefault="008B60AD" w:rsidP="008B60AD">
      <w:pPr>
        <w:pStyle w:val="Caption"/>
        <w:rPr>
          <w:rFonts w:ascii="Arial" w:hAnsi="Arial" w:cs="Arial"/>
          <w:color w:val="000000" w:themeColor="text1"/>
          <w:lang w:val="en-US"/>
        </w:rPr>
      </w:pPr>
      <w:r w:rsidRPr="00887702">
        <w:rPr>
          <w:rFonts w:ascii="Arial" w:hAnsi="Arial" w:cs="Arial"/>
          <w:b/>
          <w:bCs/>
          <w:color w:val="000000" w:themeColor="text1"/>
        </w:rPr>
        <w:t xml:space="preserve">Figure </w:t>
      </w:r>
      <w:r w:rsidRPr="00887702">
        <w:rPr>
          <w:rFonts w:ascii="Arial" w:hAnsi="Arial" w:cs="Arial"/>
          <w:b/>
          <w:bCs/>
          <w:color w:val="000000" w:themeColor="text1"/>
        </w:rPr>
        <w:fldChar w:fldCharType="begin"/>
      </w:r>
      <w:r w:rsidRPr="00887702">
        <w:rPr>
          <w:rFonts w:ascii="Arial" w:hAnsi="Arial" w:cs="Arial"/>
          <w:b/>
          <w:bCs/>
          <w:color w:val="000000" w:themeColor="text1"/>
        </w:rPr>
        <w:instrText xml:space="preserve"> SEQ Figure \* ARABIC </w:instrText>
      </w:r>
      <w:r w:rsidRPr="00887702">
        <w:rPr>
          <w:rFonts w:ascii="Arial" w:hAnsi="Arial" w:cs="Arial"/>
          <w:b/>
          <w:bCs/>
          <w:color w:val="000000" w:themeColor="text1"/>
        </w:rPr>
        <w:fldChar w:fldCharType="separate"/>
      </w:r>
      <w:r w:rsidRPr="00887702">
        <w:rPr>
          <w:rFonts w:ascii="Arial" w:hAnsi="Arial" w:cs="Arial"/>
          <w:b/>
          <w:bCs/>
          <w:noProof/>
          <w:color w:val="000000" w:themeColor="text1"/>
        </w:rPr>
        <w:t>1</w:t>
      </w:r>
      <w:r w:rsidRPr="00887702">
        <w:rPr>
          <w:rFonts w:ascii="Arial" w:hAnsi="Arial" w:cs="Arial"/>
          <w:b/>
          <w:bCs/>
          <w:color w:val="000000" w:themeColor="text1"/>
        </w:rPr>
        <w:fldChar w:fldCharType="end"/>
      </w:r>
      <w:r w:rsidRPr="00887702">
        <w:rPr>
          <w:rFonts w:ascii="Arial" w:hAnsi="Arial" w:cs="Arial"/>
          <w:b/>
          <w:bCs/>
          <w:color w:val="000000" w:themeColor="text1"/>
          <w:lang w:val="en-US"/>
        </w:rPr>
        <w:t>:</w:t>
      </w:r>
      <w:r w:rsidRPr="00887702">
        <w:rPr>
          <w:rFonts w:ascii="Arial" w:hAnsi="Arial" w:cs="Arial"/>
          <w:color w:val="000000" w:themeColor="text1"/>
          <w:lang w:val="en-US"/>
        </w:rPr>
        <w:t xml:space="preserve"> </w:t>
      </w:r>
      <w:r w:rsidR="00AC457D" w:rsidRPr="00887702">
        <w:rPr>
          <w:rFonts w:ascii="Arial" w:hAnsi="Arial" w:cs="Arial"/>
          <w:color w:val="000000" w:themeColor="text1"/>
          <w:lang w:val="en-US"/>
        </w:rPr>
        <w:t xml:space="preserve">Schema for target protein tables (called TARGET INFORMATION) in </w:t>
      </w:r>
      <w:proofErr w:type="spellStart"/>
      <w:r w:rsidR="00AC457D" w:rsidRPr="00887702">
        <w:rPr>
          <w:rFonts w:ascii="Arial" w:hAnsi="Arial" w:cs="Arial"/>
          <w:color w:val="000000" w:themeColor="text1"/>
          <w:lang w:val="en-US"/>
        </w:rPr>
        <w:t>ChEMBL</w:t>
      </w:r>
      <w:proofErr w:type="spellEnd"/>
      <w:r w:rsidR="00AC457D" w:rsidRPr="00887702">
        <w:rPr>
          <w:rFonts w:ascii="Arial" w:hAnsi="Arial" w:cs="Arial"/>
          <w:color w:val="000000" w:themeColor="text1"/>
          <w:lang w:val="en-US"/>
        </w:rPr>
        <w:t xml:space="preserve"> 33 (cropped). From this PROTEIN_CLASSIFICATION table contains target class information under column ‘PROTEIN_CLASS_DESC’. We mapped this column into 14 superfamilies (Supplementary File 1).</w:t>
      </w:r>
    </w:p>
    <w:p w14:paraId="3F8D4FB6" w14:textId="77777777" w:rsidR="00AC457D" w:rsidRPr="00887702" w:rsidRDefault="00AC457D" w:rsidP="00AC457D">
      <w:pPr>
        <w:pStyle w:val="NormalWeb"/>
        <w:spacing w:before="0" w:beforeAutospacing="0" w:after="0" w:afterAutospacing="0"/>
        <w:rPr>
          <w:rFonts w:ascii="Arial" w:hAnsi="Arial" w:cs="Arial"/>
          <w:color w:val="0E101A"/>
        </w:rPr>
      </w:pPr>
      <w:r w:rsidRPr="00887702">
        <w:rPr>
          <w:rFonts w:ascii="Arial" w:hAnsi="Arial" w:cs="Arial"/>
          <w:color w:val="0E101A"/>
        </w:rPr>
        <w:t>These 14 classes were made from target class information available in the database schema of ChEMBL33 (</w:t>
      </w:r>
      <w:r w:rsidRPr="00887702">
        <w:rPr>
          <w:rStyle w:val="Strong"/>
          <w:rFonts w:ascii="Arial" w:hAnsi="Arial" w:cs="Arial"/>
          <w:color w:val="0E101A"/>
        </w:rPr>
        <w:t>Table</w:t>
      </w:r>
      <w:r w:rsidRPr="00887702">
        <w:rPr>
          <w:rFonts w:ascii="Arial" w:hAnsi="Arial" w:cs="Arial"/>
          <w:color w:val="0E101A"/>
        </w:rPr>
        <w:t>: PROTEIN_CLASSIFICATION, column: PROTEIN_CLASS_DESC, </w:t>
      </w:r>
      <w:r w:rsidRPr="00887702">
        <w:rPr>
          <w:rStyle w:val="Strong"/>
          <w:rFonts w:ascii="Arial" w:hAnsi="Arial" w:cs="Arial"/>
          <w:color w:val="0E101A"/>
        </w:rPr>
        <w:t>Figure 1</w:t>
      </w:r>
      <w:r w:rsidRPr="00887702">
        <w:rPr>
          <w:rFonts w:ascii="Arial" w:hAnsi="Arial" w:cs="Arial"/>
          <w:color w:val="0E101A"/>
        </w:rPr>
        <w:t xml:space="preserve">). The column: PROTEIN_CLASS_DESC, contains only the sub-class information but doesn’t contain a super family. So, we </w:t>
      </w:r>
      <w:r w:rsidRPr="00887702">
        <w:rPr>
          <w:rFonts w:ascii="Arial" w:hAnsi="Arial" w:cs="Arial"/>
          <w:color w:val="0E101A"/>
        </w:rPr>
        <w:lastRenderedPageBreak/>
        <w:t>manually mapped the sub-families to super families. For instance, we mapped subfamily: ‘enzyme kinase </w:t>
      </w:r>
    </w:p>
    <w:p w14:paraId="2B37BC7B" w14:textId="77777777" w:rsidR="00AC457D" w:rsidRPr="00887702" w:rsidRDefault="00AC457D" w:rsidP="00AC457D">
      <w:pPr>
        <w:pStyle w:val="NormalWeb"/>
        <w:spacing w:before="0" w:beforeAutospacing="0" w:after="0" w:afterAutospacing="0"/>
        <w:rPr>
          <w:rFonts w:ascii="Arial" w:hAnsi="Arial" w:cs="Arial"/>
          <w:color w:val="0E101A"/>
        </w:rPr>
      </w:pPr>
      <w:r w:rsidRPr="00887702">
        <w:rPr>
          <w:rFonts w:ascii="Arial" w:hAnsi="Arial" w:cs="Arial"/>
          <w:color w:val="0E101A"/>
        </w:rPr>
        <w:t>protein kinase agc sgk’ to superfamily: ‘Kinase’, ‘enzyme transferase’ to ‘Enzyme’, ‘enzyme hydrolase’ to ‘Enzyme’, ‘membrane receptor 7tm3 smallmol neurotransmitter metabotropic glutamate receptor’ to ‘GPCR’, ‘auxiliary transport protein ca beta’ to ‘Transporter’, ‘enzyme reductase’ to ’Enzyme’ and so on. Supplementary File 1 shows the mapping of ‘ChEMBL_PROTEIN_CLASS_DESC’ into our protein_super_class for 2978 target proteins in our database.</w:t>
      </w:r>
    </w:p>
    <w:p w14:paraId="6EC1A6E2" w14:textId="77777777" w:rsidR="009E0525" w:rsidRPr="00887702" w:rsidRDefault="009E0525" w:rsidP="00AC457D">
      <w:pPr>
        <w:pStyle w:val="NormalWeb"/>
        <w:spacing w:before="0" w:beforeAutospacing="0" w:after="0" w:afterAutospacing="0"/>
        <w:rPr>
          <w:rFonts w:ascii="Arial" w:hAnsi="Arial" w:cs="Arial"/>
          <w:color w:val="0E101A"/>
        </w:rPr>
      </w:pPr>
    </w:p>
    <w:p w14:paraId="350BDC59" w14:textId="4AB40097" w:rsidR="009E0525" w:rsidRPr="00887702" w:rsidRDefault="009E0525" w:rsidP="009E0525">
      <w:pPr>
        <w:pStyle w:val="NormalWeb"/>
        <w:spacing w:before="0" w:beforeAutospacing="0" w:after="0" w:afterAutospacing="0"/>
        <w:jc w:val="center"/>
        <w:rPr>
          <w:rFonts w:ascii="Arial" w:hAnsi="Arial" w:cs="Arial"/>
          <w:b/>
          <w:bCs/>
          <w:color w:val="0E101A"/>
          <w:lang w:val="fi-FI"/>
        </w:rPr>
      </w:pPr>
      <w:proofErr w:type="spellStart"/>
      <w:r w:rsidRPr="00887702">
        <w:rPr>
          <w:rFonts w:ascii="Arial" w:hAnsi="Arial" w:cs="Arial"/>
          <w:b/>
          <w:bCs/>
          <w:color w:val="0E101A"/>
          <w:lang w:val="fi-FI"/>
        </w:rPr>
        <w:t>Compound</w:t>
      </w:r>
      <w:proofErr w:type="spellEnd"/>
      <w:r w:rsidRPr="00887702">
        <w:rPr>
          <w:rFonts w:ascii="Arial" w:hAnsi="Arial" w:cs="Arial"/>
          <w:b/>
          <w:bCs/>
          <w:color w:val="0E101A"/>
          <w:lang w:val="fi-FI"/>
        </w:rPr>
        <w:t xml:space="preserve"> </w:t>
      </w:r>
      <w:proofErr w:type="spellStart"/>
      <w:r w:rsidRPr="00887702">
        <w:rPr>
          <w:rFonts w:ascii="Arial" w:hAnsi="Arial" w:cs="Arial"/>
          <w:b/>
          <w:bCs/>
          <w:color w:val="0E101A"/>
          <w:lang w:val="fi-FI"/>
        </w:rPr>
        <w:t>classifications</w:t>
      </w:r>
      <w:proofErr w:type="spellEnd"/>
    </w:p>
    <w:p w14:paraId="35361D99" w14:textId="77777777" w:rsidR="008B60AD" w:rsidRPr="00887702" w:rsidRDefault="008B60AD" w:rsidP="006350A4">
      <w:pPr>
        <w:rPr>
          <w:rFonts w:ascii="Arial" w:hAnsi="Arial" w:cs="Arial"/>
          <w:color w:val="000000"/>
        </w:rPr>
      </w:pPr>
    </w:p>
    <w:p w14:paraId="4A0A0F25" w14:textId="455CF787" w:rsidR="009E0525" w:rsidRPr="00887702" w:rsidRDefault="00EA1C32" w:rsidP="009E0525">
      <w:pPr>
        <w:pStyle w:val="ListParagraph"/>
        <w:numPr>
          <w:ilvl w:val="0"/>
          <w:numId w:val="3"/>
        </w:numPr>
        <w:rPr>
          <w:rFonts w:ascii="Arial" w:hAnsi="Arial" w:cs="Arial"/>
          <w:b/>
          <w:bCs/>
          <w:color w:val="000000"/>
          <w:lang w:val="en-US"/>
        </w:rPr>
      </w:pPr>
      <w:r w:rsidRPr="00887702">
        <w:rPr>
          <w:rFonts w:ascii="Arial" w:hAnsi="Arial" w:cs="Arial"/>
          <w:b/>
          <w:bCs/>
          <w:color w:val="000000"/>
          <w:lang w:val="en-US"/>
        </w:rPr>
        <w:t>Molecular</w:t>
      </w:r>
      <w:r w:rsidR="009E0525" w:rsidRPr="00887702">
        <w:rPr>
          <w:rFonts w:ascii="Arial" w:hAnsi="Arial" w:cs="Arial"/>
          <w:b/>
          <w:bCs/>
          <w:color w:val="000000"/>
          <w:lang w:val="en-US"/>
        </w:rPr>
        <w:t xml:space="preserve"> classification based on drug </w:t>
      </w:r>
      <w:proofErr w:type="gramStart"/>
      <w:r w:rsidR="009E0525" w:rsidRPr="00887702">
        <w:rPr>
          <w:rFonts w:ascii="Arial" w:hAnsi="Arial" w:cs="Arial"/>
          <w:b/>
          <w:bCs/>
          <w:color w:val="000000"/>
          <w:lang w:val="en-US"/>
        </w:rPr>
        <w:t>type</w:t>
      </w:r>
      <w:proofErr w:type="gramEnd"/>
    </w:p>
    <w:p w14:paraId="7D68A7AB" w14:textId="08BBED6F" w:rsidR="009E0525" w:rsidRPr="00887702" w:rsidRDefault="009E0525" w:rsidP="00B70723">
      <w:pPr>
        <w:jc w:val="both"/>
        <w:rPr>
          <w:rFonts w:ascii="Arial" w:hAnsi="Arial" w:cs="Arial"/>
          <w:color w:val="000000"/>
          <w:lang w:val="en-US"/>
        </w:rPr>
      </w:pPr>
      <w:r w:rsidRPr="00887702">
        <w:rPr>
          <w:rFonts w:ascii="Arial" w:hAnsi="Arial" w:cs="Arial"/>
          <w:color w:val="000000"/>
          <w:lang w:val="en-US"/>
        </w:rPr>
        <w:t xml:space="preserve">This classification was obtained from </w:t>
      </w:r>
      <w:proofErr w:type="spellStart"/>
      <w:r w:rsidRPr="00887702">
        <w:rPr>
          <w:rFonts w:ascii="Arial" w:hAnsi="Arial" w:cs="Arial"/>
          <w:color w:val="000000"/>
          <w:lang w:val="en-US"/>
        </w:rPr>
        <w:t>DrugBank</w:t>
      </w:r>
      <w:proofErr w:type="spellEnd"/>
      <w:r w:rsidRPr="00887702">
        <w:rPr>
          <w:rFonts w:ascii="Arial" w:hAnsi="Arial" w:cs="Arial"/>
          <w:color w:val="000000"/>
          <w:lang w:val="en-US"/>
        </w:rPr>
        <w:t xml:space="preserve">. </w:t>
      </w:r>
      <w:r w:rsidR="00B70723" w:rsidRPr="00887702">
        <w:rPr>
          <w:rFonts w:ascii="Arial" w:hAnsi="Arial" w:cs="Arial"/>
          <w:color w:val="000000"/>
          <w:lang w:val="en-US"/>
        </w:rPr>
        <w:t>Of 6259 molecules, 432 are biological molecules (antibodies, gene therapies, vaccines, recombinant therapeutic protein or other biological molecules), and 5827 are small chemical molecules.</w:t>
      </w:r>
    </w:p>
    <w:p w14:paraId="6B89DCEE" w14:textId="77777777" w:rsidR="009E0525" w:rsidRPr="00887702" w:rsidRDefault="009E0525" w:rsidP="009E0525">
      <w:pPr>
        <w:rPr>
          <w:rFonts w:ascii="Arial" w:hAnsi="Arial" w:cs="Arial"/>
          <w:b/>
          <w:bCs/>
          <w:color w:val="000000"/>
          <w:lang w:val="en-US"/>
        </w:rPr>
      </w:pPr>
    </w:p>
    <w:p w14:paraId="1FFB9E8B" w14:textId="68BA0EF6" w:rsidR="009E0525" w:rsidRPr="00887702" w:rsidRDefault="009E0525" w:rsidP="009E0525">
      <w:pPr>
        <w:pStyle w:val="ListParagraph"/>
        <w:numPr>
          <w:ilvl w:val="0"/>
          <w:numId w:val="3"/>
        </w:numPr>
        <w:rPr>
          <w:rFonts w:ascii="Arial" w:hAnsi="Arial" w:cs="Arial"/>
          <w:b/>
          <w:bCs/>
          <w:color w:val="000000"/>
          <w:lang w:val="en-US"/>
        </w:rPr>
      </w:pPr>
      <w:r w:rsidRPr="00887702">
        <w:rPr>
          <w:rFonts w:ascii="Arial" w:hAnsi="Arial" w:cs="Arial"/>
          <w:b/>
          <w:bCs/>
          <w:color w:val="000000"/>
          <w:lang w:val="en-US"/>
        </w:rPr>
        <w:t>Compound classification based</w:t>
      </w:r>
      <w:r w:rsidRPr="00887702">
        <w:rPr>
          <w:rFonts w:ascii="Arial" w:hAnsi="Arial" w:cs="Arial"/>
          <w:b/>
          <w:bCs/>
          <w:color w:val="000000"/>
          <w:lang w:val="en-US"/>
        </w:rPr>
        <w:t xml:space="preserve"> clinical </w:t>
      </w:r>
      <w:proofErr w:type="gramStart"/>
      <w:r w:rsidRPr="00887702">
        <w:rPr>
          <w:rFonts w:ascii="Arial" w:hAnsi="Arial" w:cs="Arial"/>
          <w:b/>
          <w:bCs/>
          <w:color w:val="000000"/>
          <w:lang w:val="en-US"/>
        </w:rPr>
        <w:t>status</w:t>
      </w:r>
      <w:proofErr w:type="gramEnd"/>
    </w:p>
    <w:p w14:paraId="4E793980" w14:textId="07E4A97E" w:rsidR="009E0525" w:rsidRPr="00887702" w:rsidRDefault="00B70723" w:rsidP="009E0525">
      <w:pPr>
        <w:rPr>
          <w:rFonts w:ascii="Arial" w:hAnsi="Arial" w:cs="Arial"/>
          <w:color w:val="000000"/>
          <w:lang w:val="en-US"/>
        </w:rPr>
      </w:pPr>
      <w:r w:rsidRPr="00887702">
        <w:rPr>
          <w:rFonts w:ascii="Arial" w:hAnsi="Arial" w:cs="Arial"/>
          <w:color w:val="000000"/>
          <w:lang w:val="en-US"/>
        </w:rPr>
        <w:t>We</w:t>
      </w:r>
      <w:r w:rsidR="00EA1C32" w:rsidRPr="00887702">
        <w:rPr>
          <w:rFonts w:ascii="Arial" w:hAnsi="Arial" w:cs="Arial"/>
          <w:color w:val="000000"/>
          <w:lang w:val="en-US"/>
        </w:rPr>
        <w:t xml:space="preserve"> also classified all the </w:t>
      </w:r>
      <w:r w:rsidR="001569C3" w:rsidRPr="00887702">
        <w:rPr>
          <w:rFonts w:ascii="Arial" w:hAnsi="Arial" w:cs="Arial"/>
          <w:color w:val="000000"/>
          <w:lang w:val="en-US"/>
        </w:rPr>
        <w:t xml:space="preserve">6259 </w:t>
      </w:r>
      <w:r w:rsidR="00EA1C32" w:rsidRPr="00887702">
        <w:rPr>
          <w:rFonts w:ascii="Arial" w:hAnsi="Arial" w:cs="Arial"/>
          <w:color w:val="000000"/>
          <w:lang w:val="en-US"/>
        </w:rPr>
        <w:t xml:space="preserve">molecules into </w:t>
      </w:r>
      <w:r w:rsidRPr="00887702">
        <w:rPr>
          <w:rFonts w:ascii="Arial" w:hAnsi="Arial" w:cs="Arial"/>
          <w:color w:val="000000"/>
          <w:lang w:val="en-US"/>
        </w:rPr>
        <w:t>six</w:t>
      </w:r>
      <w:r w:rsidR="00EA1C32" w:rsidRPr="00887702">
        <w:rPr>
          <w:rFonts w:ascii="Arial" w:hAnsi="Arial" w:cs="Arial"/>
          <w:color w:val="000000"/>
          <w:lang w:val="en-US"/>
        </w:rPr>
        <w:t xml:space="preserve"> classes based on their clinical status. These six classes are as follows:</w:t>
      </w:r>
    </w:p>
    <w:p w14:paraId="173DC9BC" w14:textId="77777777" w:rsidR="0066223C" w:rsidRPr="00887702" w:rsidRDefault="0066223C" w:rsidP="0066223C">
      <w:pPr>
        <w:pStyle w:val="ListParagraph"/>
        <w:numPr>
          <w:ilvl w:val="0"/>
          <w:numId w:val="4"/>
        </w:numPr>
        <w:rPr>
          <w:rFonts w:ascii="Arial" w:hAnsi="Arial" w:cs="Arial"/>
          <w:lang w:val="en-GB"/>
        </w:rPr>
      </w:pPr>
      <w:r w:rsidRPr="00887702">
        <w:rPr>
          <w:rFonts w:ascii="Arial" w:hAnsi="Arial" w:cs="Arial"/>
          <w:lang w:val="en-GB"/>
        </w:rPr>
        <w:t>A</w:t>
      </w:r>
      <w:r w:rsidRPr="00887702">
        <w:rPr>
          <w:rFonts w:ascii="Arial" w:hAnsi="Arial" w:cs="Arial"/>
          <w:lang w:val="en-GB"/>
        </w:rPr>
        <w:t>pproved</w:t>
      </w:r>
    </w:p>
    <w:p w14:paraId="2160FE98" w14:textId="47479716" w:rsidR="0066223C" w:rsidRPr="00887702" w:rsidRDefault="001569C3" w:rsidP="0066223C">
      <w:pPr>
        <w:pStyle w:val="ListParagraph"/>
        <w:numPr>
          <w:ilvl w:val="0"/>
          <w:numId w:val="4"/>
        </w:numPr>
        <w:rPr>
          <w:rFonts w:ascii="Arial" w:hAnsi="Arial" w:cs="Arial"/>
          <w:lang w:val="en-GB"/>
        </w:rPr>
      </w:pPr>
      <w:r w:rsidRPr="00887702">
        <w:rPr>
          <w:rFonts w:ascii="Arial" w:hAnsi="Arial" w:cs="Arial"/>
          <w:color w:val="000000"/>
          <w:lang w:val="en-US"/>
        </w:rPr>
        <w:t>V</w:t>
      </w:r>
      <w:r w:rsidR="0066223C" w:rsidRPr="00887702">
        <w:rPr>
          <w:rFonts w:ascii="Arial" w:hAnsi="Arial" w:cs="Arial"/>
          <w:color w:val="000000"/>
          <w:lang w:val="en-US"/>
        </w:rPr>
        <w:t xml:space="preserve">et </w:t>
      </w:r>
      <w:proofErr w:type="gramStart"/>
      <w:r w:rsidR="0066223C" w:rsidRPr="00887702">
        <w:rPr>
          <w:rFonts w:ascii="Arial" w:hAnsi="Arial" w:cs="Arial"/>
          <w:color w:val="000000"/>
          <w:lang w:val="en-US"/>
        </w:rPr>
        <w:t>approved</w:t>
      </w:r>
      <w:proofErr w:type="gramEnd"/>
    </w:p>
    <w:p w14:paraId="3CA8F91B" w14:textId="10156F71" w:rsidR="0066223C" w:rsidRPr="00887702" w:rsidRDefault="0066223C" w:rsidP="0066223C">
      <w:pPr>
        <w:pStyle w:val="ListParagraph"/>
        <w:numPr>
          <w:ilvl w:val="0"/>
          <w:numId w:val="4"/>
        </w:numPr>
        <w:rPr>
          <w:rFonts w:ascii="Arial" w:hAnsi="Arial" w:cs="Arial"/>
          <w:lang w:val="en-GB"/>
        </w:rPr>
      </w:pPr>
      <w:r w:rsidRPr="00887702">
        <w:rPr>
          <w:rFonts w:ascii="Arial" w:hAnsi="Arial" w:cs="Arial"/>
          <w:color w:val="000000"/>
          <w:lang w:val="en-US"/>
        </w:rPr>
        <w:t>Nutraceutical</w:t>
      </w:r>
    </w:p>
    <w:p w14:paraId="123B0BA5" w14:textId="7A8F6583" w:rsidR="0066223C" w:rsidRPr="00887702" w:rsidRDefault="0066223C" w:rsidP="0066223C">
      <w:pPr>
        <w:pStyle w:val="ListParagraph"/>
        <w:numPr>
          <w:ilvl w:val="0"/>
          <w:numId w:val="4"/>
        </w:numPr>
        <w:rPr>
          <w:rFonts w:ascii="Arial" w:hAnsi="Arial" w:cs="Arial"/>
          <w:lang w:val="en-GB"/>
        </w:rPr>
      </w:pPr>
      <w:r w:rsidRPr="00887702">
        <w:rPr>
          <w:rFonts w:ascii="Arial" w:hAnsi="Arial" w:cs="Arial"/>
          <w:color w:val="000000"/>
          <w:lang w:val="en-US"/>
        </w:rPr>
        <w:t>Experimental</w:t>
      </w:r>
    </w:p>
    <w:p w14:paraId="3E83A4FB" w14:textId="198B6D3A" w:rsidR="0066223C" w:rsidRPr="00887702" w:rsidRDefault="0066223C" w:rsidP="0066223C">
      <w:pPr>
        <w:pStyle w:val="ListParagraph"/>
        <w:numPr>
          <w:ilvl w:val="0"/>
          <w:numId w:val="4"/>
        </w:numPr>
        <w:rPr>
          <w:rFonts w:ascii="Arial" w:hAnsi="Arial" w:cs="Arial"/>
          <w:color w:val="000000"/>
          <w:lang w:val="en-US"/>
        </w:rPr>
      </w:pPr>
      <w:r w:rsidRPr="00887702">
        <w:rPr>
          <w:rFonts w:ascii="Arial" w:hAnsi="Arial" w:cs="Arial"/>
          <w:color w:val="000000"/>
          <w:lang w:val="en-US"/>
        </w:rPr>
        <w:t>Investigational</w:t>
      </w:r>
    </w:p>
    <w:p w14:paraId="342E7AD7" w14:textId="412D17C5" w:rsidR="0066223C" w:rsidRPr="00887702" w:rsidRDefault="0066223C" w:rsidP="0066223C">
      <w:pPr>
        <w:pStyle w:val="ListParagraph"/>
        <w:numPr>
          <w:ilvl w:val="0"/>
          <w:numId w:val="4"/>
        </w:numPr>
        <w:rPr>
          <w:rFonts w:ascii="Arial" w:hAnsi="Arial" w:cs="Arial"/>
          <w:color w:val="000000"/>
          <w:lang w:val="en-US"/>
        </w:rPr>
      </w:pPr>
      <w:r w:rsidRPr="00887702">
        <w:rPr>
          <w:rFonts w:ascii="Arial" w:hAnsi="Arial" w:cs="Arial"/>
          <w:color w:val="000000"/>
          <w:lang w:val="en-US"/>
        </w:rPr>
        <w:t>Illicit</w:t>
      </w:r>
    </w:p>
    <w:p w14:paraId="5DBFA857" w14:textId="77777777" w:rsidR="0066223C" w:rsidRPr="00887702" w:rsidRDefault="0066223C" w:rsidP="009E0525">
      <w:pPr>
        <w:rPr>
          <w:rFonts w:ascii="Arial" w:hAnsi="Arial" w:cs="Arial"/>
          <w:color w:val="000000"/>
          <w:lang w:val="en-US"/>
        </w:rPr>
      </w:pPr>
    </w:p>
    <w:p w14:paraId="5703A73D" w14:textId="5055E54C" w:rsidR="002A220A" w:rsidRPr="00887702" w:rsidRDefault="00B70723" w:rsidP="00B70723">
      <w:pPr>
        <w:jc w:val="both"/>
        <w:rPr>
          <w:rFonts w:ascii="Arial" w:hAnsi="Arial" w:cs="Arial"/>
          <w:color w:val="000000"/>
        </w:rPr>
      </w:pPr>
      <w:r w:rsidRPr="00887702">
        <w:rPr>
          <w:rFonts w:ascii="Arial" w:hAnsi="Arial" w:cs="Arial"/>
          <w:color w:val="000000"/>
          <w:lang w:val="en-US"/>
        </w:rPr>
        <w:t>Approved drugs contain those molecules that have been officially accepted for commercialization for at least one of the indications. From the list of 6243 molecules, 2277 are approved drugs in our database. Vet-approved drugs are approved for at least one of the indications in animal treatments. There are 36 vet-approved drugs in our database. Nutraceuticals are drugs regulated and processed at a pharmaceutical grade and have a demonstrable nutritional effect. There are 30 nutraceuticals in our database. Experimental compounds have not yet been investigated or approved in clinical but have been experimentally shown to bind specific proteins in mammals, bacteria, viruses, fungi, or parasites. Our database contains 2975 experimental compounds. Investigational compounds have not been approved yet but are currently in clinical trials (Phase I, Phase II or III). There are 906 investigational compounds. Finally, illicit compounds include those that are legally banned or selectively banned in most developed nations (such as cocaine and heroin). There are 35 illicit compounds.</w:t>
      </w:r>
    </w:p>
    <w:p w14:paraId="15A1ABA2" w14:textId="77777777" w:rsidR="009E0525" w:rsidRPr="00887702" w:rsidRDefault="009E0525" w:rsidP="00EE2AB3">
      <w:pPr>
        <w:rPr>
          <w:rFonts w:ascii="Arial" w:hAnsi="Arial" w:cs="Arial"/>
          <w:color w:val="000000" w:themeColor="text1"/>
        </w:rPr>
      </w:pPr>
    </w:p>
    <w:p w14:paraId="3D8CCDE9" w14:textId="405DE8A7" w:rsidR="00B70723" w:rsidRPr="00887702" w:rsidRDefault="008E64B7" w:rsidP="008E64B7">
      <w:pPr>
        <w:jc w:val="both"/>
        <w:rPr>
          <w:rFonts w:ascii="Arial" w:hAnsi="Arial" w:cs="Arial"/>
          <w:b/>
          <w:bCs/>
          <w:color w:val="000000" w:themeColor="text1"/>
        </w:rPr>
      </w:pPr>
      <w:r w:rsidRPr="00887702">
        <w:rPr>
          <w:rFonts w:ascii="Arial" w:hAnsi="Arial" w:cs="Arial"/>
          <w:color w:val="000000" w:themeColor="text1"/>
          <w:lang w:val="en-US"/>
        </w:rPr>
        <w:t xml:space="preserve">There were also some scenarios where drugs were placed under multiple clinical statuses, e.g. Approved &amp; investigational. This means that a particular drug is approved for an indication and is currently in clinical trials for another indication. We needed to have only one clinical status for each drug to implement the drug-target interaction network </w:t>
      </w:r>
      <w:proofErr w:type="spellStart"/>
      <w:r w:rsidRPr="00887702">
        <w:rPr>
          <w:rFonts w:ascii="Arial" w:hAnsi="Arial" w:cs="Arial"/>
          <w:color w:val="000000" w:themeColor="text1"/>
          <w:lang w:val="en-US"/>
        </w:rPr>
        <w:t>visualisation</w:t>
      </w:r>
      <w:proofErr w:type="spellEnd"/>
      <w:r w:rsidRPr="00887702">
        <w:rPr>
          <w:rFonts w:ascii="Arial" w:hAnsi="Arial" w:cs="Arial"/>
          <w:color w:val="000000" w:themeColor="text1"/>
          <w:lang w:val="en-US"/>
        </w:rPr>
        <w:t xml:space="preserve"> module. In such cases, we assigned the drug to an ‘approved’ class (e.g., </w:t>
      </w:r>
      <w:proofErr w:type="spellStart"/>
      <w:r w:rsidRPr="00887702">
        <w:rPr>
          <w:rFonts w:ascii="Arial" w:hAnsi="Arial" w:cs="Arial"/>
          <w:color w:val="000000" w:themeColor="text1"/>
          <w:lang w:val="en-US"/>
        </w:rPr>
        <w:t>Denileukin</w:t>
      </w:r>
      <w:proofErr w:type="spellEnd"/>
      <w:r w:rsidRPr="00887702">
        <w:rPr>
          <w:rFonts w:ascii="Arial" w:hAnsi="Arial" w:cs="Arial"/>
          <w:color w:val="000000" w:themeColor="text1"/>
          <w:lang w:val="en-US"/>
        </w:rPr>
        <w:t xml:space="preserve"> </w:t>
      </w:r>
      <w:proofErr w:type="spellStart"/>
      <w:r w:rsidRPr="00887702">
        <w:rPr>
          <w:rFonts w:ascii="Arial" w:hAnsi="Arial" w:cs="Arial"/>
          <w:color w:val="000000" w:themeColor="text1"/>
          <w:lang w:val="en-US"/>
        </w:rPr>
        <w:t>diftitox</w:t>
      </w:r>
      <w:proofErr w:type="spellEnd"/>
      <w:r w:rsidRPr="00887702">
        <w:rPr>
          <w:rFonts w:ascii="Arial" w:hAnsi="Arial" w:cs="Arial"/>
          <w:color w:val="000000" w:themeColor="text1"/>
          <w:lang w:val="en-US"/>
        </w:rPr>
        <w:t xml:space="preserve">). The same was the rule applied for ‘Vet approved’. For cases where drugs were assigned both ‘illicit’ and ‘experimental’ clinical statuses, we placed those drugs under the ‘illicit’ category (e.g. drug, </w:t>
      </w:r>
      <w:proofErr w:type="spellStart"/>
      <w:r w:rsidRPr="00887702">
        <w:rPr>
          <w:rFonts w:ascii="Arial" w:hAnsi="Arial" w:cs="Arial"/>
          <w:color w:val="000000" w:themeColor="text1"/>
          <w:lang w:val="en-US"/>
        </w:rPr>
        <w:t>Methadyl</w:t>
      </w:r>
      <w:proofErr w:type="spellEnd"/>
      <w:r w:rsidRPr="00887702">
        <w:rPr>
          <w:rFonts w:ascii="Arial" w:hAnsi="Arial" w:cs="Arial"/>
          <w:color w:val="000000" w:themeColor="text1"/>
          <w:lang w:val="en-US"/>
        </w:rPr>
        <w:t xml:space="preserve"> acetate).</w:t>
      </w:r>
    </w:p>
    <w:p w14:paraId="030C12FB" w14:textId="77777777" w:rsidR="00887702" w:rsidRPr="00887702" w:rsidRDefault="00887702" w:rsidP="009E0525">
      <w:pPr>
        <w:jc w:val="center"/>
        <w:rPr>
          <w:rFonts w:ascii="Arial" w:hAnsi="Arial" w:cs="Arial"/>
          <w:b/>
          <w:bCs/>
          <w:color w:val="000000" w:themeColor="text1"/>
        </w:rPr>
      </w:pPr>
    </w:p>
    <w:p w14:paraId="61A6B36E" w14:textId="77777777" w:rsidR="00887702" w:rsidRPr="00887702" w:rsidRDefault="00887702" w:rsidP="009E0525">
      <w:pPr>
        <w:jc w:val="center"/>
        <w:rPr>
          <w:rFonts w:ascii="Arial" w:hAnsi="Arial" w:cs="Arial"/>
          <w:b/>
          <w:bCs/>
          <w:color w:val="000000" w:themeColor="text1"/>
        </w:rPr>
      </w:pPr>
    </w:p>
    <w:p w14:paraId="27BD30D0" w14:textId="090A0D23" w:rsidR="009E0525" w:rsidRPr="00887702" w:rsidRDefault="009E0525" w:rsidP="009E0525">
      <w:pPr>
        <w:jc w:val="center"/>
        <w:rPr>
          <w:rFonts w:ascii="Arial" w:hAnsi="Arial" w:cs="Arial"/>
          <w:b/>
          <w:bCs/>
          <w:color w:val="000000" w:themeColor="text1"/>
        </w:rPr>
      </w:pPr>
      <w:r w:rsidRPr="00887702">
        <w:rPr>
          <w:rFonts w:ascii="Arial" w:hAnsi="Arial" w:cs="Arial"/>
          <w:b/>
          <w:bCs/>
          <w:color w:val="000000" w:themeColor="text1"/>
        </w:rPr>
        <w:t>Interactive Visualization for Drug-Target Interactions</w:t>
      </w:r>
    </w:p>
    <w:p w14:paraId="2E0ECE38" w14:textId="77777777" w:rsidR="00887702" w:rsidRPr="0060199E" w:rsidRDefault="00887702" w:rsidP="009E0525">
      <w:pPr>
        <w:jc w:val="center"/>
        <w:rPr>
          <w:rFonts w:ascii="Arial" w:hAnsi="Arial" w:cs="Arial"/>
          <w:b/>
          <w:bCs/>
          <w:color w:val="000000" w:themeColor="text1"/>
        </w:rPr>
      </w:pPr>
    </w:p>
    <w:p w14:paraId="7E08974A" w14:textId="77777777" w:rsidR="0060199E" w:rsidRPr="0060199E" w:rsidRDefault="0060199E" w:rsidP="0060199E">
      <w:pPr>
        <w:jc w:val="both"/>
        <w:rPr>
          <w:rFonts w:ascii="Arial" w:hAnsi="Arial" w:cs="Arial"/>
          <w:color w:val="000000"/>
        </w:rPr>
      </w:pPr>
      <w:r w:rsidRPr="0060199E">
        <w:rPr>
          <w:rFonts w:ascii="Arial" w:hAnsi="Arial" w:cs="Arial"/>
          <w:color w:val="000000"/>
        </w:rPr>
        <w:t>The drug-target interaction is a highly interactive D3-based module (a JavaScript library) that displays drug-target interactions for the selected drug(s). We used the directed graph available in the D3 library. Furthermore, we used HTML and CSS to improve the visualizations further.</w:t>
      </w:r>
    </w:p>
    <w:p w14:paraId="2AA0F9BB" w14:textId="77777777" w:rsidR="0060199E" w:rsidRPr="0060199E" w:rsidRDefault="0060199E" w:rsidP="0060199E">
      <w:pPr>
        <w:jc w:val="both"/>
        <w:rPr>
          <w:rFonts w:ascii="Arial" w:hAnsi="Arial" w:cs="Arial"/>
          <w:color w:val="000000"/>
        </w:rPr>
      </w:pPr>
      <w:r w:rsidRPr="0060199E">
        <w:rPr>
          <w:rFonts w:ascii="Arial" w:hAnsi="Arial" w:cs="Arial"/>
          <w:color w:val="000000"/>
        </w:rPr>
        <w:t xml:space="preserve">The visualization module contains two nodes: a drug node (pill-shaped) and a target protein node (round-shaped). The target protein nodes are colour-coded according to 14 superfamilies as defined in the section above. Upon clicking a target protein, a popup menu displays protein 3D structures and other protein information such as sequence (fasta format), protein names and family class. The 3D structures of the proteins were obtained by querying proteins in PDB and selecting the top hit. In the case of proteins whose structures are not available in PDB, we obtained predicted structures from Alphafold. We wrote scripts to scrap structures for these 2978 proteins. </w:t>
      </w:r>
    </w:p>
    <w:p w14:paraId="7C993A8B" w14:textId="77777777" w:rsidR="0060199E" w:rsidRPr="0060199E" w:rsidRDefault="0060199E" w:rsidP="0060199E">
      <w:pPr>
        <w:jc w:val="both"/>
        <w:rPr>
          <w:rFonts w:ascii="Arial" w:hAnsi="Arial" w:cs="Arial"/>
          <w:color w:val="000000"/>
        </w:rPr>
      </w:pPr>
      <w:r w:rsidRPr="0060199E">
        <w:rPr>
          <w:rFonts w:ascii="Arial" w:hAnsi="Arial" w:cs="Arial"/>
          <w:color w:val="000000"/>
        </w:rPr>
        <w:t xml:space="preserve">The drug node (represented by pill shape) has two colours; the left colour represents molecule type, i.e. </w:t>
      </w:r>
    </w:p>
    <w:p w14:paraId="1D67EEDE" w14:textId="77777777" w:rsidR="0060199E" w:rsidRPr="0060199E" w:rsidRDefault="0060199E" w:rsidP="0060199E">
      <w:pPr>
        <w:jc w:val="both"/>
        <w:rPr>
          <w:rFonts w:ascii="Arial" w:hAnsi="Arial" w:cs="Arial"/>
          <w:color w:val="000000"/>
        </w:rPr>
      </w:pPr>
      <w:r w:rsidRPr="0060199E">
        <w:rPr>
          <w:rFonts w:ascii="Arial" w:hAnsi="Arial" w:cs="Arial"/>
          <w:color w:val="000000"/>
        </w:rPr>
        <w:t>Small chemical molecules or biological molecules. The right colour on the pill represents the clinical status of the molecule, e.g. approved, vet-approved, illicit, investigational, experimental and nutraceuticals. The web module allows end users to change the colours for both drug and protein nodes. Upon clicking a drug node, a pop-up displays more information on the drug, such as drug 2D structures, toxicities, physiochemical properties, etc.</w:t>
      </w:r>
    </w:p>
    <w:p w14:paraId="267EF91A" w14:textId="3A555F0E" w:rsidR="00D54319" w:rsidRPr="0060199E" w:rsidRDefault="0060199E" w:rsidP="0060199E">
      <w:pPr>
        <w:jc w:val="both"/>
        <w:rPr>
          <w:rFonts w:ascii="Arial" w:hAnsi="Arial" w:cs="Arial"/>
          <w:color w:val="000000"/>
          <w:lang w:val="en-US"/>
        </w:rPr>
      </w:pPr>
      <w:r w:rsidRPr="0060199E">
        <w:rPr>
          <w:rFonts w:ascii="Arial" w:hAnsi="Arial" w:cs="Arial"/>
          <w:color w:val="000000"/>
        </w:rPr>
        <w:t xml:space="preserve">Upon clicking on the link between the drug and the target node, a popup displays </w:t>
      </w:r>
      <w:commentRangeStart w:id="0"/>
      <w:r w:rsidR="00D54319" w:rsidRPr="0060199E">
        <w:rPr>
          <w:rFonts w:ascii="Arial" w:hAnsi="Arial" w:cs="Arial"/>
          <w:color w:val="000000"/>
          <w:lang w:val="en-US"/>
        </w:rPr>
        <w:t>unique mutations related to that interaction</w:t>
      </w:r>
      <w:commentRangeEnd w:id="0"/>
      <w:r w:rsidR="00D54319" w:rsidRPr="0060199E">
        <w:rPr>
          <w:rStyle w:val="CommentReference"/>
          <w:rFonts w:ascii="Arial" w:hAnsi="Arial" w:cs="Arial"/>
        </w:rPr>
        <w:commentReference w:id="0"/>
      </w:r>
      <w:r w:rsidR="00D54319" w:rsidRPr="0060199E">
        <w:rPr>
          <w:rFonts w:ascii="Arial" w:hAnsi="Arial" w:cs="Arial"/>
          <w:color w:val="000000"/>
          <w:lang w:val="en-US"/>
        </w:rPr>
        <w:t>.</w:t>
      </w:r>
    </w:p>
    <w:p w14:paraId="1BEDF60F" w14:textId="77777777" w:rsidR="0060199E" w:rsidRDefault="0060199E" w:rsidP="00CA4C02">
      <w:pPr>
        <w:jc w:val="both"/>
        <w:rPr>
          <w:rFonts w:ascii="Arial" w:hAnsi="Arial" w:cs="Arial"/>
          <w:color w:val="000000"/>
          <w:lang w:val="en-US"/>
        </w:rPr>
      </w:pPr>
      <w:r w:rsidRPr="0060199E">
        <w:rPr>
          <w:rFonts w:ascii="Arial" w:hAnsi="Arial" w:cs="Arial"/>
          <w:color w:val="000000"/>
          <w:lang w:val="en-US"/>
        </w:rPr>
        <w:t xml:space="preserve">Finally, the target protein node's size depends on the number of connected drugs to that </w:t>
      </w:r>
      <w:proofErr w:type="gramStart"/>
      <w:r w:rsidRPr="0060199E">
        <w:rPr>
          <w:rFonts w:ascii="Arial" w:hAnsi="Arial" w:cs="Arial"/>
          <w:color w:val="000000"/>
          <w:lang w:val="en-US"/>
        </w:rPr>
        <w:t>particular target</w:t>
      </w:r>
      <w:proofErr w:type="gramEnd"/>
      <w:r w:rsidRPr="0060199E">
        <w:rPr>
          <w:rFonts w:ascii="Arial" w:hAnsi="Arial" w:cs="Arial"/>
          <w:color w:val="000000"/>
          <w:lang w:val="en-US"/>
        </w:rPr>
        <w:t>. Target nodes associated with a bigger number of drugs have bigger size.</w:t>
      </w:r>
    </w:p>
    <w:p w14:paraId="3F9FD4EE" w14:textId="7EF1C3B5" w:rsidR="00D54319" w:rsidRDefault="0060199E" w:rsidP="00CA4C02">
      <w:pPr>
        <w:jc w:val="both"/>
        <w:rPr>
          <w:rFonts w:ascii="Arial" w:hAnsi="Arial" w:cs="Arial"/>
          <w:b/>
          <w:bCs/>
          <w:color w:val="000000"/>
          <w:lang w:val="en-US"/>
        </w:rPr>
      </w:pPr>
      <w:r>
        <w:rPr>
          <w:rFonts w:ascii="Arial" w:hAnsi="Arial" w:cs="Arial"/>
          <w:color w:val="000000"/>
          <w:lang w:val="en-US"/>
        </w:rPr>
        <w:t xml:space="preserve"> </w:t>
      </w:r>
      <w:r w:rsidR="00D54319">
        <w:rPr>
          <w:rFonts w:ascii="Arial" w:hAnsi="Arial" w:cs="Arial"/>
          <w:color w:val="000000"/>
          <w:lang w:val="en-US"/>
        </w:rPr>
        <w:br/>
      </w:r>
      <w:r w:rsidR="00D54319" w:rsidRPr="00D54319">
        <w:rPr>
          <w:rFonts w:ascii="Arial" w:hAnsi="Arial" w:cs="Arial"/>
          <w:b/>
          <w:bCs/>
          <w:color w:val="000000" w:themeColor="text1"/>
        </w:rPr>
        <w:t>Interactive Features</w:t>
      </w:r>
    </w:p>
    <w:p w14:paraId="7F7B8D71" w14:textId="73F3B3DA" w:rsidR="00D54319" w:rsidRPr="00D54319" w:rsidRDefault="0060199E" w:rsidP="00D54319">
      <w:pPr>
        <w:pStyle w:val="ListParagraph"/>
        <w:numPr>
          <w:ilvl w:val="0"/>
          <w:numId w:val="5"/>
        </w:numPr>
        <w:jc w:val="both"/>
        <w:rPr>
          <w:rFonts w:ascii="Arial" w:hAnsi="Arial" w:cs="Arial"/>
          <w:b/>
          <w:bCs/>
          <w:color w:val="000000"/>
          <w:lang w:val="en-US"/>
        </w:rPr>
      </w:pPr>
      <w:r w:rsidRPr="00D54319">
        <w:rPr>
          <w:rFonts w:ascii="Arial" w:hAnsi="Arial" w:cs="Arial"/>
          <w:b/>
          <w:bCs/>
          <w:color w:val="000000"/>
          <w:lang w:val="en-US"/>
        </w:rPr>
        <w:t>Filtration</w:t>
      </w:r>
      <w:r w:rsidR="00D54319">
        <w:rPr>
          <w:rFonts w:ascii="Arial" w:hAnsi="Arial" w:cs="Arial"/>
          <w:b/>
          <w:bCs/>
          <w:color w:val="000000"/>
          <w:lang w:val="en-US"/>
        </w:rPr>
        <w:t xml:space="preserve">: </w:t>
      </w:r>
      <w:r w:rsidR="00D54319" w:rsidRPr="00D54319">
        <w:rPr>
          <w:rFonts w:ascii="Arial" w:hAnsi="Arial" w:cs="Arial"/>
          <w:color w:val="000000"/>
          <w:lang w:val="en-US"/>
        </w:rPr>
        <w:t>End users can filter out nodes based on target super family, drug clinical status or drug type.</w:t>
      </w:r>
    </w:p>
    <w:p w14:paraId="5192CD77" w14:textId="4B6D7739" w:rsidR="00D54319" w:rsidRDefault="00D54319" w:rsidP="00D54319">
      <w:pPr>
        <w:pStyle w:val="ListParagraph"/>
        <w:numPr>
          <w:ilvl w:val="0"/>
          <w:numId w:val="5"/>
        </w:numPr>
        <w:jc w:val="both"/>
        <w:rPr>
          <w:rFonts w:ascii="Arial" w:hAnsi="Arial" w:cs="Arial"/>
          <w:b/>
          <w:bCs/>
          <w:color w:val="000000"/>
          <w:lang w:val="en-US"/>
        </w:rPr>
      </w:pPr>
      <w:r>
        <w:rPr>
          <w:rFonts w:ascii="Arial" w:hAnsi="Arial" w:cs="Arial"/>
          <w:b/>
          <w:bCs/>
          <w:color w:val="000000"/>
          <w:lang w:val="en-US"/>
        </w:rPr>
        <w:t xml:space="preserve">Threshold (slider): </w:t>
      </w:r>
      <w:r>
        <w:rPr>
          <w:rFonts w:ascii="Arial" w:hAnsi="Arial" w:cs="Arial"/>
          <w:color w:val="000000"/>
          <w:lang w:val="en-US"/>
        </w:rPr>
        <w:t>End users can play with slider (</w:t>
      </w:r>
      <w:r w:rsidR="0060199E">
        <w:rPr>
          <w:rFonts w:ascii="Arial" w:hAnsi="Arial" w:cs="Arial"/>
          <w:color w:val="000000"/>
          <w:lang w:val="en-US"/>
        </w:rPr>
        <w:t>threshold</w:t>
      </w:r>
      <w:r>
        <w:rPr>
          <w:rFonts w:ascii="Arial" w:hAnsi="Arial" w:cs="Arial"/>
          <w:color w:val="000000"/>
          <w:lang w:val="en-US"/>
        </w:rPr>
        <w:t>) to bring more nodes (if any) to the screen.</w:t>
      </w:r>
    </w:p>
    <w:p w14:paraId="08AD3829" w14:textId="0F39B074" w:rsidR="00D54319" w:rsidRDefault="00D54319" w:rsidP="00D54319">
      <w:pPr>
        <w:pStyle w:val="ListParagraph"/>
        <w:numPr>
          <w:ilvl w:val="0"/>
          <w:numId w:val="5"/>
        </w:numPr>
        <w:jc w:val="both"/>
        <w:rPr>
          <w:rFonts w:ascii="Arial" w:hAnsi="Arial" w:cs="Arial"/>
          <w:b/>
          <w:bCs/>
          <w:color w:val="000000"/>
          <w:lang w:val="en-US"/>
        </w:rPr>
      </w:pPr>
      <w:r>
        <w:rPr>
          <w:rFonts w:ascii="Arial" w:hAnsi="Arial" w:cs="Arial"/>
          <w:b/>
          <w:bCs/>
          <w:color w:val="000000"/>
          <w:lang w:val="en-US"/>
        </w:rPr>
        <w:t xml:space="preserve">Changing the location of nodes: </w:t>
      </w:r>
      <w:r w:rsidRPr="00D54319">
        <w:rPr>
          <w:rFonts w:ascii="Arial" w:hAnsi="Arial" w:cs="Arial"/>
          <w:color w:val="000000"/>
          <w:lang w:val="en-US"/>
        </w:rPr>
        <w:t>End</w:t>
      </w:r>
      <w:r>
        <w:rPr>
          <w:rFonts w:ascii="Arial" w:hAnsi="Arial" w:cs="Arial"/>
          <w:color w:val="000000"/>
          <w:lang w:val="en-US"/>
        </w:rPr>
        <w:t xml:space="preserve"> users can drag target or drug nodes to change its position on the screen.</w:t>
      </w:r>
    </w:p>
    <w:p w14:paraId="1AB954A6" w14:textId="45AB49A4" w:rsidR="00D54319" w:rsidRPr="00F96D75" w:rsidRDefault="00D54319" w:rsidP="00D54319">
      <w:pPr>
        <w:pStyle w:val="ListParagraph"/>
        <w:numPr>
          <w:ilvl w:val="0"/>
          <w:numId w:val="5"/>
        </w:numPr>
        <w:jc w:val="both"/>
        <w:rPr>
          <w:rFonts w:ascii="Arial" w:hAnsi="Arial" w:cs="Arial"/>
          <w:b/>
          <w:bCs/>
          <w:color w:val="000000"/>
          <w:lang w:val="en-US"/>
        </w:rPr>
      </w:pPr>
      <w:r>
        <w:rPr>
          <w:rFonts w:ascii="Arial" w:hAnsi="Arial" w:cs="Arial"/>
          <w:b/>
          <w:bCs/>
          <w:color w:val="000000"/>
          <w:lang w:val="en-US"/>
        </w:rPr>
        <w:t>Zoom</w:t>
      </w:r>
      <w:r w:rsidR="00F96D75">
        <w:rPr>
          <w:rFonts w:ascii="Arial" w:hAnsi="Arial" w:cs="Arial"/>
          <w:b/>
          <w:bCs/>
          <w:color w:val="000000"/>
          <w:lang w:val="en-US"/>
        </w:rPr>
        <w:t xml:space="preserve">: </w:t>
      </w:r>
      <w:r w:rsidR="00F96D75" w:rsidRPr="00F96D75">
        <w:rPr>
          <w:rFonts w:ascii="Arial" w:hAnsi="Arial" w:cs="Arial"/>
          <w:color w:val="000000"/>
          <w:lang w:val="en-US"/>
        </w:rPr>
        <w:t>End</w:t>
      </w:r>
      <w:r w:rsidR="00F96D75">
        <w:rPr>
          <w:rFonts w:ascii="Arial" w:hAnsi="Arial" w:cs="Arial"/>
          <w:color w:val="000000"/>
          <w:lang w:val="en-US"/>
        </w:rPr>
        <w:t xml:space="preserve"> users can zoom in/out to increase the size of nodes and links on the screen.</w:t>
      </w:r>
    </w:p>
    <w:p w14:paraId="4FC1DE9A" w14:textId="19641DD8" w:rsidR="00D54319" w:rsidRPr="00536B1B" w:rsidRDefault="00F96D75" w:rsidP="000B00C7">
      <w:pPr>
        <w:pStyle w:val="ListParagraph"/>
        <w:numPr>
          <w:ilvl w:val="0"/>
          <w:numId w:val="5"/>
        </w:numPr>
        <w:jc w:val="both"/>
        <w:rPr>
          <w:rFonts w:ascii="Arial" w:eastAsia="Times New Roman" w:hAnsi="Arial" w:cs="Arial"/>
          <w:color w:val="000000"/>
          <w:kern w:val="0"/>
          <w:lang w:val="en-US" w:eastAsia="en-GB"/>
          <w14:ligatures w14:val="none"/>
        </w:rPr>
      </w:pPr>
      <w:r w:rsidRPr="00F96D75">
        <w:rPr>
          <w:rFonts w:ascii="Arial" w:hAnsi="Arial" w:cs="Arial"/>
          <w:b/>
          <w:bCs/>
          <w:color w:val="000000"/>
          <w:lang w:val="en-US"/>
        </w:rPr>
        <w:t xml:space="preserve">Redraw: </w:t>
      </w:r>
      <w:r w:rsidRPr="00F96D75">
        <w:rPr>
          <w:rFonts w:ascii="Arial" w:hAnsi="Arial" w:cs="Arial"/>
          <w:color w:val="000000"/>
          <w:lang w:val="en-US"/>
        </w:rPr>
        <w:t>Upon cli</w:t>
      </w:r>
      <w:r>
        <w:rPr>
          <w:rFonts w:ascii="Arial" w:hAnsi="Arial" w:cs="Arial"/>
          <w:color w:val="000000"/>
          <w:lang w:val="en-US"/>
        </w:rPr>
        <w:t xml:space="preserve">cking </w:t>
      </w:r>
      <w:r w:rsidRPr="00F96D75">
        <w:rPr>
          <w:rFonts w:ascii="Arial" w:hAnsi="Arial" w:cs="Arial"/>
          <w:color w:val="000000"/>
          <w:lang w:val="en-US"/>
        </w:rPr>
        <w:t>the</w:t>
      </w:r>
      <w:r>
        <w:rPr>
          <w:rFonts w:ascii="Arial" w:hAnsi="Arial" w:cs="Arial"/>
          <w:color w:val="000000"/>
          <w:lang w:val="en-US"/>
        </w:rPr>
        <w:t xml:space="preserve"> redraw button, the visualization module re-</w:t>
      </w:r>
      <w:r w:rsidR="0060199E">
        <w:rPr>
          <w:rFonts w:ascii="Arial" w:hAnsi="Arial" w:cs="Arial"/>
          <w:color w:val="000000"/>
          <w:lang w:val="en-US"/>
        </w:rPr>
        <w:t>adjusts</w:t>
      </w:r>
      <w:r>
        <w:rPr>
          <w:rFonts w:ascii="Arial" w:hAnsi="Arial" w:cs="Arial"/>
          <w:color w:val="000000"/>
          <w:lang w:val="en-US"/>
        </w:rPr>
        <w:t xml:space="preserve"> the network to optimal positions. </w:t>
      </w:r>
      <w:r w:rsidRPr="00F96D75">
        <w:rPr>
          <w:rFonts w:ascii="Arial" w:hAnsi="Arial" w:cs="Arial"/>
          <w:color w:val="000000"/>
          <w:lang w:val="en-US"/>
        </w:rPr>
        <w:t xml:space="preserve"> </w:t>
      </w:r>
    </w:p>
    <w:p w14:paraId="2EB97DBA" w14:textId="58CF79AE" w:rsidR="00536B1B" w:rsidRPr="00536B1B" w:rsidRDefault="00536B1B" w:rsidP="00536B1B">
      <w:pPr>
        <w:pStyle w:val="ListParagraph"/>
        <w:numPr>
          <w:ilvl w:val="0"/>
          <w:numId w:val="5"/>
        </w:numPr>
        <w:jc w:val="both"/>
        <w:rPr>
          <w:rFonts w:ascii="Arial" w:eastAsia="Times New Roman" w:hAnsi="Arial" w:cs="Arial"/>
          <w:color w:val="000000"/>
          <w:kern w:val="0"/>
          <w:lang w:val="en-US" w:eastAsia="en-GB"/>
          <w14:ligatures w14:val="none"/>
        </w:rPr>
      </w:pPr>
      <w:r>
        <w:rPr>
          <w:rFonts w:ascii="Arial" w:hAnsi="Arial" w:cs="Arial"/>
          <w:b/>
          <w:bCs/>
          <w:color w:val="000000"/>
          <w:lang w:val="en-US"/>
        </w:rPr>
        <w:t xml:space="preserve">Export option: </w:t>
      </w:r>
      <w:r>
        <w:rPr>
          <w:rFonts w:ascii="Arial" w:hAnsi="Arial" w:cs="Arial"/>
          <w:color w:val="000000"/>
          <w:lang w:val="en-US"/>
        </w:rPr>
        <w:t>After doing filtering or adjusting the network as per the needs of the end users, he/she can export the high-quality figure. He/she can freely use the exported figure for his/her manuscript or any other purpose.</w:t>
      </w:r>
    </w:p>
    <w:sectPr w:rsidR="00536B1B" w:rsidRPr="0053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noli, Ziaurrehman" w:date="2023-11-23T11:13:00Z" w:initials="TZ">
    <w:p w14:paraId="17149EE8" w14:textId="77777777" w:rsidR="00D54319" w:rsidRDefault="00D54319" w:rsidP="00D54319">
      <w:r>
        <w:rPr>
          <w:rStyle w:val="CommentReference"/>
        </w:rPr>
        <w:annotationRef/>
      </w:r>
      <w:r>
        <w:rPr>
          <w:color w:val="000000"/>
          <w:sz w:val="20"/>
          <w:szCs w:val="20"/>
        </w:rPr>
        <w:t>@yang: Confirm if this is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49E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82943B4" w16cex:dateUtc="2023-11-23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49EE8" w16cid:durableId="182943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72DF"/>
    <w:multiLevelType w:val="hybridMultilevel"/>
    <w:tmpl w:val="6BA29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7040F7"/>
    <w:multiLevelType w:val="hybridMultilevel"/>
    <w:tmpl w:val="0E2872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3841F5"/>
    <w:multiLevelType w:val="hybridMultilevel"/>
    <w:tmpl w:val="A0429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4958EA"/>
    <w:multiLevelType w:val="hybridMultilevel"/>
    <w:tmpl w:val="C31CA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F333CD"/>
    <w:multiLevelType w:val="hybridMultilevel"/>
    <w:tmpl w:val="EB4AF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4498605">
    <w:abstractNumId w:val="3"/>
  </w:num>
  <w:num w:numId="2" w16cid:durableId="355280292">
    <w:abstractNumId w:val="2"/>
  </w:num>
  <w:num w:numId="3" w16cid:durableId="1441337003">
    <w:abstractNumId w:val="1"/>
  </w:num>
  <w:num w:numId="4" w16cid:durableId="658772761">
    <w:abstractNumId w:val="4"/>
  </w:num>
  <w:num w:numId="5" w16cid:durableId="1019938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oli, Ziaurrehman">
    <w15:presenceInfo w15:providerId="AD" w15:userId="S::rehmanzu@ad.helsinki.fi::7a21e771-fef9-496b-a638-e7174e579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B3"/>
    <w:rsid w:val="000254F7"/>
    <w:rsid w:val="001569C3"/>
    <w:rsid w:val="002A220A"/>
    <w:rsid w:val="00511AF4"/>
    <w:rsid w:val="00536B1B"/>
    <w:rsid w:val="0060199E"/>
    <w:rsid w:val="006350A4"/>
    <w:rsid w:val="0066223C"/>
    <w:rsid w:val="007112CD"/>
    <w:rsid w:val="00741518"/>
    <w:rsid w:val="00794830"/>
    <w:rsid w:val="00797985"/>
    <w:rsid w:val="0083580B"/>
    <w:rsid w:val="00887702"/>
    <w:rsid w:val="008B60AD"/>
    <w:rsid w:val="008E64B7"/>
    <w:rsid w:val="009E0525"/>
    <w:rsid w:val="00AC457D"/>
    <w:rsid w:val="00B70723"/>
    <w:rsid w:val="00C9749E"/>
    <w:rsid w:val="00CA4C02"/>
    <w:rsid w:val="00D54319"/>
    <w:rsid w:val="00DA3AB9"/>
    <w:rsid w:val="00EA1C32"/>
    <w:rsid w:val="00EE2AB3"/>
    <w:rsid w:val="00F96D7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30EB3CE8"/>
  <w15:chartTrackingRefBased/>
  <w15:docId w15:val="{2BA7230D-1F27-9143-9F8B-337C3864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AB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0A"/>
    <w:pPr>
      <w:ind w:left="720"/>
      <w:contextualSpacing/>
    </w:pPr>
    <w:rPr>
      <w:rFonts w:asciiTheme="minorHAnsi" w:eastAsiaTheme="minorHAnsi" w:hAnsiTheme="minorHAnsi" w:cstheme="minorBidi"/>
      <w:kern w:val="2"/>
      <w:lang w:eastAsia="en-US"/>
      <w14:ligatures w14:val="standardContextual"/>
    </w:rPr>
  </w:style>
  <w:style w:type="paragraph" w:styleId="Caption">
    <w:name w:val="caption"/>
    <w:basedOn w:val="Normal"/>
    <w:next w:val="Normal"/>
    <w:uiPriority w:val="35"/>
    <w:unhideWhenUsed/>
    <w:qFormat/>
    <w:rsid w:val="008B60AD"/>
    <w:pPr>
      <w:spacing w:after="200"/>
    </w:pPr>
    <w:rPr>
      <w:i/>
      <w:iCs/>
      <w:color w:val="44546A" w:themeColor="text2"/>
      <w:sz w:val="18"/>
      <w:szCs w:val="18"/>
    </w:rPr>
  </w:style>
  <w:style w:type="paragraph" w:styleId="NormalWeb">
    <w:name w:val="Normal (Web)"/>
    <w:basedOn w:val="Normal"/>
    <w:uiPriority w:val="99"/>
    <w:semiHidden/>
    <w:unhideWhenUsed/>
    <w:rsid w:val="00AC457D"/>
    <w:pPr>
      <w:spacing w:before="100" w:beforeAutospacing="1" w:after="100" w:afterAutospacing="1"/>
    </w:pPr>
  </w:style>
  <w:style w:type="character" w:styleId="Strong">
    <w:name w:val="Strong"/>
    <w:basedOn w:val="DefaultParagraphFont"/>
    <w:uiPriority w:val="22"/>
    <w:qFormat/>
    <w:rsid w:val="00AC457D"/>
    <w:rPr>
      <w:b/>
      <w:bCs/>
    </w:rPr>
  </w:style>
  <w:style w:type="character" w:styleId="CommentReference">
    <w:name w:val="annotation reference"/>
    <w:basedOn w:val="DefaultParagraphFont"/>
    <w:uiPriority w:val="99"/>
    <w:semiHidden/>
    <w:unhideWhenUsed/>
    <w:rsid w:val="00D54319"/>
    <w:rPr>
      <w:sz w:val="16"/>
      <w:szCs w:val="16"/>
    </w:rPr>
  </w:style>
  <w:style w:type="paragraph" w:styleId="CommentText">
    <w:name w:val="annotation text"/>
    <w:basedOn w:val="Normal"/>
    <w:link w:val="CommentTextChar"/>
    <w:uiPriority w:val="99"/>
    <w:semiHidden/>
    <w:unhideWhenUsed/>
    <w:rsid w:val="00D54319"/>
    <w:rPr>
      <w:sz w:val="20"/>
      <w:szCs w:val="20"/>
    </w:rPr>
  </w:style>
  <w:style w:type="character" w:customStyle="1" w:styleId="CommentTextChar">
    <w:name w:val="Comment Text Char"/>
    <w:basedOn w:val="DefaultParagraphFont"/>
    <w:link w:val="CommentText"/>
    <w:uiPriority w:val="99"/>
    <w:semiHidden/>
    <w:rsid w:val="00D54319"/>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D54319"/>
    <w:rPr>
      <w:b/>
      <w:bCs/>
    </w:rPr>
  </w:style>
  <w:style w:type="character" w:customStyle="1" w:styleId="CommentSubjectChar">
    <w:name w:val="Comment Subject Char"/>
    <w:basedOn w:val="CommentTextChar"/>
    <w:link w:val="CommentSubject"/>
    <w:uiPriority w:val="99"/>
    <w:semiHidden/>
    <w:rsid w:val="00D54319"/>
    <w:rPr>
      <w:rFonts w:ascii="Times New Roman" w:eastAsia="Times New Roman" w:hAnsi="Times New Roman" w:cs="Times New Roman"/>
      <w:b/>
      <w:bCs/>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45788">
      <w:bodyDiv w:val="1"/>
      <w:marLeft w:val="0"/>
      <w:marRight w:val="0"/>
      <w:marTop w:val="0"/>
      <w:marBottom w:val="0"/>
      <w:divBdr>
        <w:top w:val="none" w:sz="0" w:space="0" w:color="auto"/>
        <w:left w:val="none" w:sz="0" w:space="0" w:color="auto"/>
        <w:bottom w:val="none" w:sz="0" w:space="0" w:color="auto"/>
        <w:right w:val="none" w:sz="0" w:space="0" w:color="auto"/>
      </w:divBdr>
    </w:div>
    <w:div w:id="897327699">
      <w:bodyDiv w:val="1"/>
      <w:marLeft w:val="0"/>
      <w:marRight w:val="0"/>
      <w:marTop w:val="0"/>
      <w:marBottom w:val="0"/>
      <w:divBdr>
        <w:top w:val="none" w:sz="0" w:space="0" w:color="auto"/>
        <w:left w:val="none" w:sz="0" w:space="0" w:color="auto"/>
        <w:bottom w:val="none" w:sz="0" w:space="0" w:color="auto"/>
        <w:right w:val="none" w:sz="0" w:space="0" w:color="auto"/>
      </w:divBdr>
    </w:div>
    <w:div w:id="971980500">
      <w:bodyDiv w:val="1"/>
      <w:marLeft w:val="0"/>
      <w:marRight w:val="0"/>
      <w:marTop w:val="0"/>
      <w:marBottom w:val="0"/>
      <w:divBdr>
        <w:top w:val="none" w:sz="0" w:space="0" w:color="auto"/>
        <w:left w:val="none" w:sz="0" w:space="0" w:color="auto"/>
        <w:bottom w:val="none" w:sz="0" w:space="0" w:color="auto"/>
        <w:right w:val="none" w:sz="0" w:space="0" w:color="auto"/>
      </w:divBdr>
    </w:div>
    <w:div w:id="1092437246">
      <w:bodyDiv w:val="1"/>
      <w:marLeft w:val="0"/>
      <w:marRight w:val="0"/>
      <w:marTop w:val="0"/>
      <w:marBottom w:val="0"/>
      <w:divBdr>
        <w:top w:val="none" w:sz="0" w:space="0" w:color="auto"/>
        <w:left w:val="none" w:sz="0" w:space="0" w:color="auto"/>
        <w:bottom w:val="none" w:sz="0" w:space="0" w:color="auto"/>
        <w:right w:val="none" w:sz="0" w:space="0" w:color="auto"/>
      </w:divBdr>
    </w:div>
    <w:div w:id="1267270724">
      <w:bodyDiv w:val="1"/>
      <w:marLeft w:val="0"/>
      <w:marRight w:val="0"/>
      <w:marTop w:val="0"/>
      <w:marBottom w:val="0"/>
      <w:divBdr>
        <w:top w:val="none" w:sz="0" w:space="0" w:color="auto"/>
        <w:left w:val="none" w:sz="0" w:space="0" w:color="auto"/>
        <w:bottom w:val="none" w:sz="0" w:space="0" w:color="auto"/>
        <w:right w:val="none" w:sz="0" w:space="0" w:color="auto"/>
      </w:divBdr>
    </w:div>
    <w:div w:id="1347366393">
      <w:bodyDiv w:val="1"/>
      <w:marLeft w:val="0"/>
      <w:marRight w:val="0"/>
      <w:marTop w:val="0"/>
      <w:marBottom w:val="0"/>
      <w:divBdr>
        <w:top w:val="none" w:sz="0" w:space="0" w:color="auto"/>
        <w:left w:val="none" w:sz="0" w:space="0" w:color="auto"/>
        <w:bottom w:val="none" w:sz="0" w:space="0" w:color="auto"/>
        <w:right w:val="none" w:sz="0" w:space="0" w:color="auto"/>
      </w:divBdr>
    </w:div>
    <w:div w:id="1679842280">
      <w:bodyDiv w:val="1"/>
      <w:marLeft w:val="0"/>
      <w:marRight w:val="0"/>
      <w:marTop w:val="0"/>
      <w:marBottom w:val="0"/>
      <w:divBdr>
        <w:top w:val="none" w:sz="0" w:space="0" w:color="auto"/>
        <w:left w:val="none" w:sz="0" w:space="0" w:color="auto"/>
        <w:bottom w:val="none" w:sz="0" w:space="0" w:color="auto"/>
        <w:right w:val="none" w:sz="0" w:space="0" w:color="auto"/>
      </w:divBdr>
    </w:div>
    <w:div w:id="1735618306">
      <w:bodyDiv w:val="1"/>
      <w:marLeft w:val="0"/>
      <w:marRight w:val="0"/>
      <w:marTop w:val="0"/>
      <w:marBottom w:val="0"/>
      <w:divBdr>
        <w:top w:val="none" w:sz="0" w:space="0" w:color="auto"/>
        <w:left w:val="none" w:sz="0" w:space="0" w:color="auto"/>
        <w:bottom w:val="none" w:sz="0" w:space="0" w:color="auto"/>
        <w:right w:val="none" w:sz="0" w:space="0" w:color="auto"/>
      </w:divBdr>
    </w:div>
    <w:div w:id="1746995721">
      <w:bodyDiv w:val="1"/>
      <w:marLeft w:val="0"/>
      <w:marRight w:val="0"/>
      <w:marTop w:val="0"/>
      <w:marBottom w:val="0"/>
      <w:divBdr>
        <w:top w:val="none" w:sz="0" w:space="0" w:color="auto"/>
        <w:left w:val="none" w:sz="0" w:space="0" w:color="auto"/>
        <w:bottom w:val="none" w:sz="0" w:space="0" w:color="auto"/>
        <w:right w:val="none" w:sz="0" w:space="0" w:color="auto"/>
      </w:divBdr>
    </w:div>
    <w:div w:id="1892812670">
      <w:bodyDiv w:val="1"/>
      <w:marLeft w:val="0"/>
      <w:marRight w:val="0"/>
      <w:marTop w:val="0"/>
      <w:marBottom w:val="0"/>
      <w:divBdr>
        <w:top w:val="none" w:sz="0" w:space="0" w:color="auto"/>
        <w:left w:val="none" w:sz="0" w:space="0" w:color="auto"/>
        <w:bottom w:val="none" w:sz="0" w:space="0" w:color="auto"/>
        <w:right w:val="none" w:sz="0" w:space="0" w:color="auto"/>
      </w:divBdr>
    </w:div>
    <w:div w:id="208367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Tanoli, Ziaurrehman</dc:creator>
  <cp:keywords/>
  <dc:description/>
  <cp:lastModifiedBy>Tanoli, Ziaurrehman</cp:lastModifiedBy>
  <cp:revision>12</cp:revision>
  <dcterms:created xsi:type="dcterms:W3CDTF">2023-11-23T08:57:00Z</dcterms:created>
  <dcterms:modified xsi:type="dcterms:W3CDTF">2023-11-23T09:27:00Z</dcterms:modified>
</cp:coreProperties>
</file>