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b/>
          <w:bCs/>
          <w:color w:val="3A3937"/>
          <w:sz w:val="18"/>
          <w:szCs w:val="18"/>
        </w:rPr>
        <w:t xml:space="preserve">MLN131 — CHỦ NGHĨA XÃ HỘI KHOA HỌC</w:t>
      </w:r>
    </w:p>
    <w:p>
      <w:pPr>
        <w:spacing w:after="60"/>
      </w:pPr>
      <w:r>
        <w:rPr>
          <w:b/>
          <w:bCs/>
          <w:color w:val="161412"/>
          <w:sz w:val="32"/>
          <w:szCs w:val="32"/>
        </w:rPr>
        <w:t xml:space="preserve">GIẶC NỘI XÂM — Đấu tranh phòng, chống tham nhũng</w:t>
      </w:r>
    </w:p>
    <w:p>
      <w:pPr>
        <w:spacing w:after="300"/>
      </w:pPr>
      <w:r>
        <w:rPr>
          <w:i/>
          <w:iCs/>
          <w:color w:val="C8102E"/>
          <w:sz w:val="24"/>
          <w:szCs w:val="24"/>
        </w:rPr>
        <w:t xml:space="preserve">Nội dung cần đảm bảo — Phần 4: Giải pháp thể chế &amp; trách nhiệm sinh viên</w:t>
      </w:r>
    </w:p>
    <w:p>
      <w:pPr>
        <w:pBdr>
          <w:bottom w:val="single" w:color="C8102E" w:sz="6" w:space="4"/>
        </w:pBdr>
        <w:spacing w:after="240" w:before="120"/>
      </w:pPr>
    </w:p>
    <w:p>
      <w:pPr>
        <w:pStyle w:val="Heading1"/>
      </w:pPr>
      <w:r>
        <w:t xml:space="preserve">Câu dẫn mở đầu Phần 4</w:t>
      </w:r>
    </w:p>
    <w:p>
      <w:pPr>
        <w:spacing w:after="200"/>
      </w:pPr>
      <w:r>
        <w:rPr>
          <w:i/>
          <w:iCs/>
          <w:sz w:val="22"/>
          <w:szCs w:val="22"/>
        </w:rPr>
        <w:t xml:space="preserve">“Xử lý được các đại án là xử lý phần ‘ngọn’. Muốn trị tận gốc, phải đồng thời hoàn thiện thể chế (bịt lỗ hổng để không ai lợi dụng được) và phát huy vai trò giám sát của toàn dân, trong đó có sinh viên.”</w:t>
      </w:r>
    </w:p>
    <w:p>
      <w:pPr>
        <w:pStyle w:val="Heading1"/>
      </w:pPr>
      <w:r>
        <w:t xml:space="preserve">Slide 4.1 — Giải pháp hoàn thiện thể chế (Giáo trình CNXHKH — Chương 4)</w:t>
      </w:r>
    </w:p>
    <w:p>
      <w:pPr>
        <w:spacing w:after="160"/>
      </w:pPr>
      <w:r>
        <w:rPr>
          <w:sz w:val="22"/>
          <w:szCs w:val="22"/>
        </w:rPr>
        <w:t xml:space="preserve">Giáo trình xác định: “Phòng, chống tham nhũng, lãng phí và thực hành tiết kiệm là nhiệm vụ cấp bách, lâu dài của quá trình xây dựng Nhà nước pháp quyền XHCN” — nên giải pháp không phải là dẹp hậu quả, mà là sửa từ gốc thể chế. Ba ý trên slide, mỗi ý nên nói theo cấu trúc “đây là gì → tại sao cần”:</w:t>
      </w:r>
    </w:p>
    <w:p>
      <w:pPr>
        <w:pStyle w:val="Heading2"/>
      </w:pPr>
      <w:r>
        <w:t xml:space="preserve">1. Minh bạch thể chế kinh tế — xóa cơ chế “xin – cho”</w:t>
      </w:r>
    </w:p>
    <w:p>
      <w:pPr>
        <w:spacing w:after="160" w:before="40"/>
        <w:ind w:left="360"/>
      </w:pPr>
      <w:r>
        <w:rPr>
          <w:b/>
          <w:bCs/>
          <w:color w:val="C8102E"/>
          <w:sz w:val="21"/>
          <w:szCs w:val="21"/>
        </w:rPr>
        <w:t xml:space="preserve">Tại sao: </w:t>
      </w:r>
      <w:r>
        <w:rPr>
          <w:sz w:val="21"/>
          <w:szCs w:val="21"/>
        </w:rPr>
        <w:t xml:space="preserve">cơ chế “xin – cho” chính là mảnh đất màu mỡ nhất của tham nhũng — nơi nào còn quyền quyết định tùy nghi (cấp phép, cấp vốn, duyệt dự án) mà thiếu minh bạch, nơi đó phát sinh “phong bì”. Giáo trình gọi đây là phải làm đồng bộ 3 khâu: ban hành quy định → xây cơ chế vận hành → giám sát thi hành. Thiếu 1 trong 3 khâu, quy định chỉ nằm trên giấy.</w:t>
      </w:r>
    </w:p>
    <w:p>
      <w:pPr>
        <w:pStyle w:val="Heading2"/>
      </w:pPr>
      <w:r>
        <w:t xml:space="preserve">2. Đội ngũ cán bộ trong sạch — có cơ chế loại bỏ người vi phạm</w:t>
      </w:r>
    </w:p>
    <w:p>
      <w:pPr>
        <w:spacing w:after="160" w:before="40"/>
        <w:ind w:left="360"/>
      </w:pPr>
      <w:r>
        <w:rPr>
          <w:b/>
          <w:bCs/>
          <w:color w:val="C8102E"/>
          <w:sz w:val="21"/>
          <w:szCs w:val="21"/>
        </w:rPr>
        <w:t xml:space="preserve">Tại sao: </w:t>
      </w:r>
      <w:r>
        <w:rPr>
          <w:sz w:val="21"/>
          <w:szCs w:val="21"/>
        </w:rPr>
        <w:t xml:space="preserve">giáo trình gọi việc xây dựng Đảng, xây dựng bộ máy nhà nước trong sạch, vững mạnh là “điều kiện tiên quyết” để có dân chủ XHCN thực chất — không phải một giải pháp ngang hàng, mà là nền cho mọi giải pháp khác. Tài liệu Bộ GD&amp;ĐT chỉ rõ một nguyên nhân lớn của tham nhũng là hạn chế trong quy hoạch, bổ nhiệm cán bộ — tình trạng bổ nhiệm “cùng phe cánh” tạo thành đường dây khép kín, vô hiệu hóa thanh tra nội bộ; ngược lại, người tích cực tố cáo tham nhũng đôi khi lại bị luân chuyển. Đây là lý do vì sao “cơ chế loại bỏ người vi phạm” phải đi kèm cơ chế bảo vệ người dám lên tiếng (ý tiếp theo).</w:t>
      </w:r>
    </w:p>
    <w:p>
      <w:pPr>
        <w:pStyle w:val="Heading2"/>
      </w:pPr>
      <w:r>
        <w:t xml:space="preserve">3. Bảo vệ người tố cáo — chế tài xử lý nghiêm</w:t>
      </w:r>
    </w:p>
    <w:p>
      <w:pPr>
        <w:spacing w:after="160" w:before="40"/>
        <w:ind w:left="360"/>
      </w:pPr>
      <w:r>
        <w:rPr>
          <w:b/>
          <w:bCs/>
          <w:color w:val="C8102E"/>
          <w:sz w:val="21"/>
          <w:szCs w:val="21"/>
        </w:rPr>
        <w:t xml:space="preserve">Tại sao: </w:t>
      </w:r>
      <w:r>
        <w:rPr>
          <w:sz w:val="21"/>
          <w:szCs w:val="21"/>
        </w:rPr>
        <w:t xml:space="preserve">đây là điểm nghẽn thực tế — tài liệu PCTN chỉ rõ: người tố cáo tham nhũng thường là nhân viên/cấp dưới của chính người bị tố cáo, nên sợ bị trù dập, trả thù mà không dám lên tiếng. Vì vậy pháp luật quy định công dân tố cáo có quyền giữ bí mật danh tính, và nếu bị đe dọa/trả thù thì có quyền yêu cầu cơ quan nhà nước bảo vệ. Không có cơ chế bảo vệ này, “khuyến khích tố cáo” chỉ là khẩu hiệu.</w:t>
      </w:r>
    </w:p>
    <w:p>
      <w:pPr>
        <w:pStyle w:val="Heading1"/>
      </w:pPr>
      <w:r>
        <w:t xml:space="preserve">Slide 4.2 — Trách nhiệm công dân, sinh viên (Luật Phòng, chống tham nhũng)</w:t>
      </w:r>
    </w:p>
    <w:p>
      <w:pPr>
        <w:spacing w:after="160"/>
      </w:pPr>
      <w:r>
        <w:rPr>
          <w:sz w:val="22"/>
          <w:szCs w:val="22"/>
        </w:rPr>
        <w:t xml:space="preserve">Đây là phần bạn trực tiếp thuyết trình và cũng là phần có tính hành động, dễ tạo tương tác với lớp nhất — nên đầu tư kỹ.</w:t>
      </w:r>
    </w:p>
    <w:p>
      <w:pPr>
        <w:pStyle w:val="Heading2"/>
      </w:pPr>
      <w:r>
        <w:t xml:space="preserve">a) Thượng tôn pháp luật</w:t>
      </w:r>
    </w:p>
    <w:p>
      <w:pPr>
        <w:spacing w:after="60" w:before="60"/>
        <w:ind w:left="360"/>
      </w:pPr>
      <w:r>
        <w:rPr>
          <w:b/>
          <w:bCs/>
          <w:sz w:val="20"/>
          <w:szCs w:val="20"/>
        </w:rPr>
        <w:t xml:space="preserve">Trên slide: </w:t>
      </w:r>
      <w:r>
        <w:rPr>
          <w:i/>
          <w:iCs/>
          <w:sz w:val="20"/>
          <w:szCs w:val="20"/>
        </w:rPr>
        <w:t xml:space="preserve">“Tự giác chấp hành pháp luật PCTN; bài trừ tiêu cực ngay từ trong học đường — gian lận thi cử, ‘văn hóa phong bì’.”</w:t>
      </w:r>
    </w:p>
    <w:p>
      <w:pPr>
        <w:spacing w:after="160" w:before="40"/>
        <w:ind w:left="360"/>
      </w:pPr>
      <w:r>
        <w:rPr>
          <w:b/>
          <w:bCs/>
          <w:color w:val="C8102E"/>
          <w:sz w:val="21"/>
          <w:szCs w:val="21"/>
        </w:rPr>
        <w:t xml:space="preserve">Mở rộng: </w:t>
      </w:r>
      <w:r>
        <w:rPr>
          <w:sz w:val="21"/>
          <w:szCs w:val="21"/>
        </w:rPr>
        <w:t xml:space="preserve">tài liệu PCTN gọi đây là trách nhiệm đầu tiên và nền tảng của công dân — không chỉ “không tham nhũng”, mà còn phải vận động người thân cùng chấp hành, để hành vi tham nhũng “không có đất sống” ngay trong môi trường mình sống/học tập. Với sinh viên, “tham nhũng” không xa vời — nó bắt đầu từ những việc rất nhỏ: quay cóp, “chạy điểm”, đưa phong bì để xin dễ dàng qua môn. Đây chính là thái độ sống liêm chính được rèn từ ghế nhà trường, chứ không phải chuyện chỉ có ở cán bộ nhà nước.</w:t>
      </w:r>
    </w:p>
    <w:p>
      <w:pPr>
        <w:pStyle w:val="Heading2"/>
      </w:pPr>
      <w:r>
        <w:t xml:space="preserve">b) Thực thi quyền dân chủ</w:t>
      </w:r>
    </w:p>
    <w:p>
      <w:pPr>
        <w:spacing w:after="60" w:before="60"/>
        <w:ind w:left="360"/>
      </w:pPr>
      <w:r>
        <w:rPr>
          <w:b/>
          <w:bCs/>
          <w:sz w:val="20"/>
          <w:szCs w:val="20"/>
        </w:rPr>
        <w:t xml:space="preserve">Trên slide: </w:t>
      </w:r>
      <w:r>
        <w:rPr>
          <w:i/>
          <w:iCs/>
          <w:sz w:val="20"/>
          <w:szCs w:val="20"/>
        </w:rPr>
        <w:t xml:space="preserve">“Công dân có quyền và nghĩa vụ tố giác, giám sát — theo phương châm Đại hội XIII.” → 6 ô: Dân biết, dân bàn, dân làm, dân kiểm tra, dân giám sát, dân thụ hưởng.</w:t>
      </w:r>
    </w:p>
    <w:p>
      <w:pPr>
        <w:spacing w:after="160" w:before="40"/>
        <w:ind w:left="360"/>
      </w:pPr>
      <w:r>
        <w:rPr>
          <w:b/>
          <w:bCs/>
          <w:color w:val="C8102E"/>
          <w:sz w:val="21"/>
          <w:szCs w:val="21"/>
        </w:rPr>
        <w:t xml:space="preserve">Nên nhấn mạnh: </w:t>
      </w:r>
      <w:r>
        <w:rPr>
          <w:sz w:val="21"/>
          <w:szCs w:val="21"/>
        </w:rPr>
        <w:t xml:space="preserve">phương châm gốc trong Chương 4 chỉ có 4 vế (“dân biết, dân bàn, dân làm, dân kiểm tra”); Đại hội XIII (2021) đã mở rộng thành 6 vế, thêm “dân giám sát, dân thụ hưởng” — thể hiện bước phát triển trong tư duy: dân không chỉ kiểm tra việc đã làm, mà còn giám sát toàn bộ quá trình, và quan trọng nhất — dân phải được thụ hưởng thành quả. Đây là lý do phương châm này trực tiếp gắn với PCTN: tham nhũng chính là hành vi tước đoạt cái quyền “thụ hưởng” đó của dân (liên hệ ngược lại luận điểm B ở Phần 2).</w:t>
      </w:r>
    </w:p>
    <w:p>
      <w:pPr>
        <w:spacing w:after="160" w:before="40"/>
        <w:ind w:left="360"/>
      </w:pPr>
      <w:r>
        <w:rPr>
          <w:b/>
          <w:bCs/>
          <w:color w:val="C8102E"/>
          <w:sz w:val="21"/>
          <w:szCs w:val="21"/>
        </w:rPr>
        <w:t xml:space="preserve">Có thể trích thêm (tăng độ “chắc kèo” học thuật): </w:t>
      </w:r>
      <w:r>
        <w:rPr>
          <w:sz w:val="21"/>
          <w:szCs w:val="21"/>
        </w:rPr>
        <w:t xml:space="preserve">Luật PCTN quy định công dân có 6 nhóm trách nhiệm cụ thể — (1) chấp hành nghiêm pháp luật PCTN, (2) lên án, đấu tranh với hành vi tham nhũng, (3) phát hiện, tố cáo hành vi tham nhũng, (4) hợp tác với cơ quan chức năng khi xác minh, xử lý, (5) kiến nghị hoàn thiện cơ chế, chính sách, (6) góp ý xây dựng pháp luật. Trong đó, quyền tố cáo được luật ghi rất rõ: “Công dân có quyền tố cáo hành vi tham nhũng với cơ quan, tổ chức, cá nhân có thẩm quyền” — vừa là quyền, vừa là nghĩa vụ.</w:t>
      </w:r>
    </w:p>
    <w:p>
      <w:pPr>
        <w:pStyle w:val="Heading2"/>
      </w:pPr>
      <w:r>
        <w:t xml:space="preserve">c) Chốt: “Chiếc lồng cơ chế”</w:t>
      </w:r>
    </w:p>
    <w:p>
      <w:pPr>
        <w:spacing w:after="60" w:before="60"/>
        <w:ind w:left="360"/>
      </w:pPr>
      <w:r>
        <w:rPr>
          <w:b/>
          <w:bCs/>
          <w:sz w:val="20"/>
          <w:szCs w:val="20"/>
        </w:rPr>
        <w:t xml:space="preserve">Trên slide: </w:t>
      </w:r>
      <w:r>
        <w:rPr>
          <w:i/>
          <w:iCs/>
          <w:sz w:val="20"/>
          <w:szCs w:val="20"/>
        </w:rPr>
        <w:t xml:space="preserve">“Không thể — Không dám — Không muốn — Không cần tham nhũng.”</w:t>
      </w:r>
    </w:p>
    <w:p>
      <w:pPr>
        <w:spacing w:after="160" w:before="40"/>
        <w:ind w:left="360"/>
      </w:pPr>
      <w:r>
        <w:rPr>
          <w:b/>
          <w:bCs/>
          <w:color w:val="C8102E"/>
          <w:sz w:val="21"/>
          <w:szCs w:val="21"/>
        </w:rPr>
        <w:t xml:space="preserve">Giải thích từng vế (nên nói rõ thay vì chỉ đọc): </w:t>
      </w:r>
      <w:r>
        <w:rPr>
          <w:sz w:val="21"/>
          <w:szCs w:val="21"/>
        </w:rPr>
        <w:t xml:space="preserve"/>
      </w:r>
    </w:p>
    <w:p>
      <w:pPr>
        <w:pStyle w:val="ListParagraph"/>
        <w:numPr>
          <w:ilvl w:val="0"/>
          <w:numId w:val="2"/>
        </w:numPr>
        <w:spacing w:after="100"/>
      </w:pPr>
      <w:r>
        <w:rPr>
          <w:b/>
          <w:bCs/>
          <w:sz w:val="22"/>
          <w:szCs w:val="22"/>
        </w:rPr>
        <w:t xml:space="preserve">Không thể — nhờ thể chế minh bạch, cơ chế kiểm soát chặt (ứng với giải pháp 1 &amp; 3 ở 4.1): dù muốn cũng không có kẽ hở để làm.</w:t>
      </w:r>
    </w:p>
    <w:p>
      <w:pPr>
        <w:pStyle w:val="ListParagraph"/>
        <w:numPr>
          <w:ilvl w:val="0"/>
          <w:numId w:val="2"/>
        </w:numPr>
        <w:spacing w:after="100"/>
      </w:pPr>
      <w:r>
        <w:rPr>
          <w:b/>
          <w:bCs/>
          <w:sz w:val="22"/>
          <w:szCs w:val="22"/>
        </w:rPr>
        <w:t xml:space="preserve">Không dám — nhờ chế tài xử lý nghiêm, “không có vùng cấm” (liên hệ Phần 3): biết chắc bị phát hiện là bị xử lý thật.</w:t>
      </w:r>
    </w:p>
    <w:p>
      <w:pPr>
        <w:pStyle w:val="ListParagraph"/>
        <w:numPr>
          <w:ilvl w:val="0"/>
          <w:numId w:val="2"/>
        </w:numPr>
        <w:spacing w:after="100"/>
      </w:pPr>
      <w:r>
        <w:rPr>
          <w:b/>
          <w:bCs/>
          <w:sz w:val="22"/>
          <w:szCs w:val="22"/>
        </w:rPr>
        <w:t xml:space="preserve">Không muốn — nhờ giáo dục liêm chính, đạo đức công vụ, ý thức tự giác (ứng với giải pháp 2 ở 4.1 và mục “thượng tôn pháp luật”).</w:t>
      </w:r>
    </w:p>
    <w:p>
      <w:pPr>
        <w:pStyle w:val="ListParagraph"/>
        <w:numPr>
          <w:ilvl w:val="0"/>
          <w:numId w:val="2"/>
        </w:numPr>
        <w:spacing w:after="100"/>
      </w:pPr>
      <w:r>
        <w:rPr>
          <w:b/>
          <w:bCs/>
          <w:sz w:val="22"/>
          <w:szCs w:val="22"/>
        </w:rPr>
        <w:t xml:space="preserve">Không cần — nhờ chính sách đãi ngộ hợp lý, đời sống cán bộ được đảm bảo nên không bị thôi thúc trục lợi.</w:t>
      </w:r>
    </w:p>
    <w:p>
      <w:pPr>
        <w:spacing w:after="240" w:before="120"/>
      </w:pPr>
      <w:r>
        <w:rPr>
          <w:i/>
          <w:iCs/>
          <w:sz w:val="22"/>
          <w:szCs w:val="22"/>
        </w:rPr>
        <w:t xml:space="preserve">Bốn chữ này tạo thành một hệ thống khép kín — thiếu một mắt xích, “lồng” sẽ hở. Và mắt xích cuối cùng, theo tinh thần của cả bài, chính là sự giám sát chủ động của mỗi công dân, mỗi sinh viên — đó là lý do tượng “Self-Made Man” được đặt cạnh slide này: liêm chính là hành trình tự rèn giũa, không ai làm thay được.</w:t>
      </w:r>
    </w:p>
    <w:p>
      <w:pPr>
        <w:pStyle w:val="Heading1"/>
      </w:pPr>
      <w:r>
        <w:t xml:space="preserve">Câu chuyển sang Kết luận</w:t>
      </w:r>
    </w:p>
    <w:p>
      <w:pPr>
        <w:spacing w:after="300"/>
      </w:pPr>
      <w:r>
        <w:rPr>
          <w:i/>
          <w:iCs/>
          <w:sz w:val="22"/>
          <w:szCs w:val="22"/>
        </w:rPr>
        <w:t xml:space="preserve">“Từ thể chế đến con người, từ cán bộ đến mỗi sinh viên — khi tất cả cùng đồng lòng, chiếc lồng cơ chế ấy mới thực sự vận hành. Và đó cũng chính là con đường để xây dựng một Nhà nước pháp quyền xã hội chủ nghĩa trong sạch, vững mạnh.”</w:t>
      </w:r>
    </w:p>
    <w:p>
      <w:pPr>
        <w:pStyle w:val="Heading1"/>
      </w:pPr>
      <w:r>
        <w:t xml:space="preserve">Dự phòng: câu hỏi phản biện có thể gặp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CCCCCC" w:sz="2"/>
              <w:left w:val="single" w:color="CCCCCC" w:sz="2"/>
              <w:bottom w:val="single" w:color="CCCCCC" w:sz="2"/>
              <w:right w:val="single" w:color="CCCCCC" w:sz="2"/>
            </w:tcBorders>
            <w:shd w:fill="F2B705" w:val="clear"/>
            <w:tcMar>
              <w:top w:type="dxa" w:w="100"/>
              <w:left w:type="dxa" w:w="140"/>
              <w:bottom w:type="dxa" w:w="100"/>
              <w:right w:type="dxa" w:w="140"/>
            </w:tcMar>
          </w:tcPr>
          <w:p>
            <w:r>
              <w:rPr>
                <w:b/>
                <w:bCs/>
                <w:sz w:val="20"/>
                <w:szCs w:val="20"/>
              </w:rPr>
              <w:t xml:space="preserve">Câu hỏi khả dĩ</w:t>
            </w:r>
          </w:p>
        </w:tc>
        <w:tc>
          <w:tcPr>
            <w:tcW w:type="dxa" w:w="6038"/>
            <w:tcBorders>
              <w:top w:val="single" w:color="CCCCCC" w:sz="2"/>
              <w:left w:val="single" w:color="CCCCCC" w:sz="2"/>
              <w:bottom w:val="single" w:color="CCCCCC" w:sz="2"/>
              <w:right w:val="single" w:color="CCCCCC" w:sz="2"/>
            </w:tcBorders>
            <w:shd w:fill="F2B705" w:val="clear"/>
            <w:tcMar>
              <w:top w:type="dxa" w:w="100"/>
              <w:left w:type="dxa" w:w="140"/>
              <w:bottom w:type="dxa" w:w="100"/>
              <w:right w:type="dxa" w:w="140"/>
            </w:tcMar>
          </w:tcPr>
          <w:p>
            <w:r>
              <w:rPr>
                <w:b/>
                <w:bCs/>
                <w:sz w:val="20"/>
                <w:szCs w:val="20"/>
              </w:rPr>
              <w:t xml:space="preserve">Hướng trả lời</w:t>
            </w:r>
          </w:p>
        </w:tc>
      </w:tr>
      <w:tr>
        <w:tc>
          <w:tcPr>
            <w:tcW w:type="dxa" w:w="3600"/>
            <w:tcBorders>
              <w:top w:val="single" w:color="CCCCCC" w:sz="2"/>
              <w:left w:val="single" w:color="CCCCCC" w:sz="2"/>
              <w:bottom w:val="single" w:color="CCCCCC" w:sz="2"/>
              <w:right w:val="single" w:color="CCCCCC" w:sz="2"/>
            </w:tcBorders>
            <w:tcMar>
              <w:top w:type="dxa" w:w="100"/>
              <w:left w:type="dxa" w:w="140"/>
              <w:bottom w:type="dxa" w:w="100"/>
              <w:right w:type="dxa" w:w="140"/>
            </w:tcMar>
          </w:tcPr>
          <w:p>
            <w:r>
              <w:rPr>
                <w:b w:val="false"/>
                <w:bCs w:val="false"/>
                <w:sz w:val="20"/>
                <w:szCs w:val="20"/>
              </w:rPr>
              <w:t xml:space="preserve">Luật PCTN nào đang có hiệu lực, có phải luật 2005 không?</w:t>
            </w:r>
          </w:p>
        </w:tc>
        <w:tc>
          <w:tcPr>
            <w:tcW w:type="dxa" w:w="6038"/>
            <w:tcBorders>
              <w:top w:val="single" w:color="CCCCCC" w:sz="2"/>
              <w:left w:val="single" w:color="CCCCCC" w:sz="2"/>
              <w:bottom w:val="single" w:color="CCCCCC" w:sz="2"/>
              <w:right w:val="single" w:color="CCCCCC" w:sz="2"/>
            </w:tcBorders>
            <w:tcMar>
              <w:top w:type="dxa" w:w="100"/>
              <w:left w:type="dxa" w:w="140"/>
              <w:bottom w:type="dxa" w:w="100"/>
              <w:right w:type="dxa" w:w="140"/>
            </w:tcMar>
          </w:tcPr>
          <w:p>
            <w:r>
              <w:rPr>
                <w:b w:val="false"/>
                <w:bCs w:val="false"/>
                <w:sz w:val="20"/>
                <w:szCs w:val="20"/>
              </w:rPr>
              <w:t xml:space="preserve">Luật PCTN hiện hành là Luật số 36/2018/QH14 (thay thế luật 2005). Tinh thần trách nhiệm công dân (chấp hành pháp luật, tố cáo, giám sát...) được kế thừa và củng cố thêm ở luật mới.</w:t>
            </w:r>
          </w:p>
        </w:tc>
      </w:tr>
      <w:tr>
        <w:tc>
          <w:tcPr>
            <w:tcW w:type="dxa" w:w="3600"/>
            <w:tcBorders>
              <w:top w:val="single" w:color="CCCCCC" w:sz="2"/>
              <w:left w:val="single" w:color="CCCCCC" w:sz="2"/>
              <w:bottom w:val="single" w:color="CCCCCC" w:sz="2"/>
              <w:right w:val="single" w:color="CCCCCC" w:sz="2"/>
            </w:tcBorders>
            <w:tcMar>
              <w:top w:type="dxa" w:w="100"/>
              <w:left w:type="dxa" w:w="140"/>
              <w:bottom w:type="dxa" w:w="100"/>
              <w:right w:type="dxa" w:w="140"/>
            </w:tcMar>
          </w:tcPr>
          <w:p>
            <w:r>
              <w:rPr>
                <w:b w:val="false"/>
                <w:bCs w:val="false"/>
                <w:sz w:val="20"/>
                <w:szCs w:val="20"/>
              </w:rPr>
              <w:t xml:space="preserve">Sinh viên thì giám sát cái gì khi chưa đi làm?</w:t>
            </w:r>
          </w:p>
        </w:tc>
        <w:tc>
          <w:tcPr>
            <w:tcW w:type="dxa" w:w="6038"/>
            <w:tcBorders>
              <w:top w:val="single" w:color="CCCCCC" w:sz="2"/>
              <w:left w:val="single" w:color="CCCCCC" w:sz="2"/>
              <w:bottom w:val="single" w:color="CCCCCC" w:sz="2"/>
              <w:right w:val="single" w:color="CCCCCC" w:sz="2"/>
            </w:tcBorders>
            <w:tcMar>
              <w:top w:type="dxa" w:w="100"/>
              <w:left w:type="dxa" w:w="140"/>
              <w:bottom w:type="dxa" w:w="100"/>
              <w:right w:type="dxa" w:w="140"/>
            </w:tcMar>
          </w:tcPr>
          <w:p>
            <w:r>
              <w:rPr>
                <w:b w:val="false"/>
                <w:bCs w:val="false"/>
                <w:sz w:val="20"/>
                <w:szCs w:val="20"/>
              </w:rPr>
              <w:t xml:space="preserve">Giám sát bắt đầu từ phạm vi gần nhất: giám sát chính sự liêm chính của bản thân, giám sát môi trường học đường (thi cử công bằng), và giám sát xã hội qua các kênh công khai — báo chí, mạng xã hội chính thống, phản ánh tới nhà trường/đoàn thể.</w:t>
            </w:r>
          </w:p>
        </w:tc>
      </w:tr>
      <w:tr>
        <w:tc>
          <w:tcPr>
            <w:tcW w:type="dxa" w:w="3600"/>
            <w:tcBorders>
              <w:top w:val="single" w:color="CCCCCC" w:sz="2"/>
              <w:left w:val="single" w:color="CCCCCC" w:sz="2"/>
              <w:bottom w:val="single" w:color="CCCCCC" w:sz="2"/>
              <w:right w:val="single" w:color="CCCCCC" w:sz="2"/>
            </w:tcBorders>
            <w:tcMar>
              <w:top w:type="dxa" w:w="100"/>
              <w:left w:type="dxa" w:w="140"/>
              <w:bottom w:type="dxa" w:w="100"/>
              <w:right w:type="dxa" w:w="140"/>
            </w:tcMar>
          </w:tcPr>
          <w:p>
            <w:r>
              <w:rPr>
                <w:b w:val="false"/>
                <w:bCs w:val="false"/>
                <w:sz w:val="20"/>
                <w:szCs w:val="20"/>
              </w:rPr>
              <w:t xml:space="preserve">Vì sao người tố cáo hay bị trù dập, luật bảo vệ có hiệu quả không?</w:t>
            </w:r>
          </w:p>
        </w:tc>
        <w:tc>
          <w:tcPr>
            <w:tcW w:type="dxa" w:w="6038"/>
            <w:tcBorders>
              <w:top w:val="single" w:color="CCCCCC" w:sz="2"/>
              <w:left w:val="single" w:color="CCCCCC" w:sz="2"/>
              <w:bottom w:val="single" w:color="CCCCCC" w:sz="2"/>
              <w:right w:val="single" w:color="CCCCCC" w:sz="2"/>
            </w:tcBorders>
            <w:tcMar>
              <w:top w:type="dxa" w:w="100"/>
              <w:left w:type="dxa" w:w="140"/>
              <w:bottom w:type="dxa" w:w="100"/>
              <w:right w:type="dxa" w:w="140"/>
            </w:tcMar>
          </w:tcPr>
          <w:p>
            <w:r>
              <w:rPr>
                <w:b w:val="false"/>
                <w:bCs w:val="false"/>
                <w:sz w:val="20"/>
                <w:szCs w:val="20"/>
              </w:rPr>
              <w:t xml:space="preserve">Đây là hạn chế thực tế được chính tài liệu PCTN thừa nhận — cơ chế bảo vệ tồn tại trên luật nhưng thực thi chưa đồng đều; đây cũng là lý do “bảo vệ người tố cáo” phải là một giải pháp thể chế riêng (ý 3, mục 4.1), không mặc định coi là đã giải quyết xong.</w:t>
            </w:r>
          </w:p>
        </w:tc>
      </w:tr>
    </w:tbl>
    <w:p>
      <w:pPr>
        <w:pBdr>
          <w:top w:val="single" w:color="CCCCCC" w:sz="4" w:space="8"/>
        </w:pBdr>
        <w:spacing w:before="400"/>
      </w:pPr>
      <w:r>
        <w:rPr>
          <w:i/>
          <w:iCs/>
          <w:color w:val="3A3937"/>
          <w:sz w:val="17"/>
          <w:szCs w:val="17"/>
        </w:rPr>
        <w:t xml:space="preserve">Nguồn: Giáo trình Chủ nghĩa xã hội khoa học — Chương 4 (Nxb CTQG Sự thật); Tài liệu giảng dạy về PCTN dùng cho các trường ĐH, CĐ — Bộ GD&amp;ĐT (Phần IV); sách “Kiên quyết, kiên trì đấu tranh phòng, chống tham nhũng, tiêu cực...” — Nguyễn Phú Trọng (Nxb CTQG Sự thật, 2023).</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61412"/>
      <w:sz w:val="30"/>
      <w:szCs w:val="30"/>
    </w:rPr>
  </w:style>
  <w:style w:type="paragraph" w:styleId="Heading2">
    <w:name w:val="Heading 2"/>
    <w:basedOn w:val="Normal"/>
    <w:next w:val="Normal"/>
    <w:qFormat/>
    <w:pPr>
      <w:spacing w:after="80" w:before="240"/>
      <w:outlineLvl w:val="1"/>
    </w:pPr>
    <w:rPr>
      <w:rFonts w:ascii="Arial" w:cs="Arial" w:eastAsia="Arial" w:hAnsi="Arial"/>
      <w:b/>
      <w:bCs/>
      <w:color w:val="C810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2026-07-03T16:01:08.824Z</dcterms:created>
  <dcterms:modified xsi:type="dcterms:W3CDTF">2026-07-03T16:01:08.825Z</dcterms:modified>
</cp:coreProperties>
</file>

<file path=docProps/custom.xml><?xml version="1.0" encoding="utf-8"?>
<Properties xmlns="http://schemas.openxmlformats.org/officeDocument/2006/custom-properties" xmlns:vt="http://schemas.openxmlformats.org/officeDocument/2006/docPropsVTypes"/>
</file>