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5E7F3273"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6C80051A" w14:textId="77777777" w:rsidR="00FA2DA8" w:rsidRDefault="00FA2DA8">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650A2B8" w14:textId="77777777" w:rsidR="00FA2DA8" w:rsidRDefault="00FA2DA8">
            <w:pPr>
              <w:spacing w:before="120"/>
              <w:jc w:val="center"/>
            </w:pPr>
            <w:r>
              <w:rPr>
                <w:b/>
                <w:bCs/>
              </w:rPr>
              <w:t>CỘNG HÒA XÃ HỘI CHỦ NGHĨA VIỆT NAM</w:t>
            </w:r>
            <w:r>
              <w:rPr>
                <w:b/>
                <w:bCs/>
              </w:rPr>
              <w:br/>
              <w:t xml:space="preserve">Độc lập - Tự do - Hạnh phúc </w:t>
            </w:r>
            <w:r>
              <w:rPr>
                <w:b/>
                <w:bCs/>
              </w:rPr>
              <w:br/>
              <w:t>---------------</w:t>
            </w:r>
          </w:p>
        </w:tc>
      </w:tr>
      <w:tr w:rsidR="00000000" w14:paraId="19A2BE46"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0BF5C2A" w14:textId="77777777" w:rsidR="00FA2DA8" w:rsidRDefault="00FA2DA8">
            <w:pPr>
              <w:spacing w:before="120"/>
              <w:jc w:val="center"/>
            </w:pPr>
            <w:r>
              <w:t>Số: 46/2014/TT-BGTVT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83F90CC" w14:textId="77777777" w:rsidR="00FA2DA8" w:rsidRDefault="00FA2DA8">
            <w:pPr>
              <w:spacing w:before="120"/>
              <w:jc w:val="right"/>
            </w:pPr>
            <w:r>
              <w:rPr>
                <w:i/>
                <w:iCs/>
              </w:rPr>
              <w:t>Hà Nội, ngày 06 tháng 10 năm 2014</w:t>
            </w:r>
          </w:p>
        </w:tc>
      </w:tr>
    </w:tbl>
    <w:p w14:paraId="136A46F1" w14:textId="77777777" w:rsidR="00FA2DA8" w:rsidRDefault="00FA2DA8">
      <w:pPr>
        <w:spacing w:before="120" w:after="280" w:afterAutospacing="1"/>
      </w:pPr>
      <w:r>
        <w:t> </w:t>
      </w:r>
    </w:p>
    <w:p w14:paraId="6F305846" w14:textId="77777777" w:rsidR="00FA2DA8" w:rsidRDefault="00FA2DA8">
      <w:pPr>
        <w:spacing w:before="120" w:after="280" w:afterAutospacing="1"/>
        <w:jc w:val="center"/>
      </w:pPr>
      <w:bookmarkStart w:id="0" w:name="loai_1"/>
      <w:r>
        <w:rPr>
          <w:b/>
          <w:bCs/>
        </w:rPr>
        <w:t>THÔNG TƯ</w:t>
      </w:r>
      <w:bookmarkEnd w:id="0"/>
    </w:p>
    <w:p w14:paraId="2CB775A2" w14:textId="77777777" w:rsidR="00FA2DA8" w:rsidRDefault="00FA2DA8">
      <w:pPr>
        <w:spacing w:before="120" w:after="280" w:afterAutospacing="1"/>
        <w:jc w:val="center"/>
      </w:pPr>
      <w:bookmarkStart w:id="1" w:name="loai_1_name"/>
      <w:r>
        <w:t>SỬA ĐỔI, BỔ SUNG MỘT SỐ ĐIỀU CỦA THÔNG TƯ SỐ 08/2009/TT-BGTVT NGÀY 23 THÁNG 6 NĂM 2009 CỦA BỘ TRƯỞNG BỘ GIAO THÔNG VẬN TẢI HƯỚNG DẪN VIỆC SỬ DỤNG XE THÔ SƠ, XE GẮN MÁY, XE MÔ TÔ HAI BÁNH, XE MÔ TÔ BA BÁNH VÀ CÁC LOẠI XE TƯƠNG TỰ ĐỂ VẬN CHUYỂN HÀNH KHÁCH, HÀNG HÓA</w:t>
      </w:r>
      <w:bookmarkEnd w:id="1"/>
    </w:p>
    <w:p w14:paraId="1528999A" w14:textId="77777777" w:rsidR="00FA2DA8" w:rsidRDefault="00FA2DA8">
      <w:pPr>
        <w:spacing w:before="120" w:after="280" w:afterAutospacing="1"/>
      </w:pPr>
      <w:r>
        <w:rPr>
          <w:i/>
          <w:iCs/>
        </w:rPr>
        <w:t xml:space="preserve">Căn cứ </w:t>
      </w:r>
      <w:bookmarkStart w:id="2" w:name="tvpllink_byhyaroicn"/>
      <w:r>
        <w:rPr>
          <w:i/>
          <w:iCs/>
        </w:rPr>
        <w:t>Luật Giao thông đường bộ</w:t>
      </w:r>
      <w:bookmarkEnd w:id="2"/>
      <w:r>
        <w:rPr>
          <w:i/>
          <w:iCs/>
        </w:rPr>
        <w:t xml:space="preserve"> ngày 13 tháng 11 năm 2008;</w:t>
      </w:r>
    </w:p>
    <w:p w14:paraId="519962F0" w14:textId="77777777" w:rsidR="00FA2DA8" w:rsidRDefault="00FA2DA8">
      <w:pPr>
        <w:spacing w:before="120" w:after="280" w:afterAutospacing="1"/>
      </w:pPr>
      <w:r>
        <w:rPr>
          <w:i/>
          <w:iCs/>
        </w:rPr>
        <w:t xml:space="preserve">Căn cứ Nghị định số </w:t>
      </w:r>
      <w:bookmarkStart w:id="3" w:name="tvpllink_btdegovgcr"/>
      <w:r>
        <w:rPr>
          <w:i/>
          <w:iCs/>
        </w:rPr>
        <w:t>107/2012/NĐ-CP</w:t>
      </w:r>
      <w:bookmarkEnd w:id="3"/>
      <w:r>
        <w:rPr>
          <w:i/>
          <w:iCs/>
        </w:rPr>
        <w:t xml:space="preserve"> ngày 20 tháng 12 năm 2012 của Chính phủ quy định chức năng, nhiệm vụ, quyền hạn và cơ cấu tổ chức của Bộ Giao thông vận tải;</w:t>
      </w:r>
    </w:p>
    <w:p w14:paraId="047581A9" w14:textId="77777777" w:rsidR="00FA2DA8" w:rsidRDefault="00FA2DA8">
      <w:pPr>
        <w:spacing w:before="120" w:after="280" w:afterAutospacing="1"/>
      </w:pPr>
      <w:r>
        <w:rPr>
          <w:i/>
          <w:iCs/>
        </w:rPr>
        <w:t>Theo đề nghị của Vụ trưởng Vụ Vận tải,</w:t>
      </w:r>
    </w:p>
    <w:p w14:paraId="2AFBD629" w14:textId="77777777" w:rsidR="00FA2DA8" w:rsidRDefault="00FA2DA8">
      <w:pPr>
        <w:spacing w:before="120" w:after="280" w:afterAutospacing="1"/>
      </w:pPr>
      <w:r>
        <w:rPr>
          <w:i/>
          <w:iCs/>
        </w:rPr>
        <w:t xml:space="preserve">Bộ trưởng Bộ Giao thông vận tải ban hành Thông tư sửa đổi, bổ sung một số điều của Thông tư số </w:t>
      </w:r>
      <w:bookmarkStart w:id="4" w:name="tvpllink_tczpzzphhn"/>
      <w:r>
        <w:rPr>
          <w:i/>
          <w:iCs/>
        </w:rPr>
        <w:t>08/2009/TT-BGTVT</w:t>
      </w:r>
      <w:bookmarkEnd w:id="4"/>
      <w:r>
        <w:rPr>
          <w:i/>
          <w:iCs/>
        </w:rPr>
        <w:t xml:space="preserve"> ngày 23 tháng 6 năm 2009 của Bộ trưởng Bộ Giao thông vận tải hướng dẫn việc sử dụng xe thô sơ, xe gắn máy, xe mô tô hai bánh, xe mô tô ba bánh và các loại xe tương tự để vận chuyển hành khách hàng hóa.</w:t>
      </w:r>
    </w:p>
    <w:p w14:paraId="1A53AB5A" w14:textId="77777777" w:rsidR="00FA2DA8" w:rsidRDefault="00FA2DA8">
      <w:pPr>
        <w:spacing w:before="120" w:after="280" w:afterAutospacing="1"/>
      </w:pPr>
      <w:bookmarkStart w:id="5" w:name="dieu_1"/>
      <w:r>
        <w:rPr>
          <w:b/>
          <w:bCs/>
        </w:rPr>
        <w:t>Điều 1. Sửa đổi, bổ sung</w:t>
      </w:r>
      <w:bookmarkEnd w:id="5"/>
      <w:r>
        <w:rPr>
          <w:b/>
          <w:bCs/>
        </w:rPr>
        <w:t xml:space="preserve"> </w:t>
      </w:r>
      <w:bookmarkStart w:id="6" w:name="dc_1"/>
      <w:r>
        <w:rPr>
          <w:b/>
          <w:bCs/>
        </w:rPr>
        <w:t>Điều 5 của Thông tư số 08/2009/TT-BGTVT</w:t>
      </w:r>
      <w:bookmarkEnd w:id="6"/>
      <w:r>
        <w:rPr>
          <w:b/>
          <w:bCs/>
        </w:rPr>
        <w:t xml:space="preserve"> </w:t>
      </w:r>
      <w:bookmarkStart w:id="7" w:name="dieu_1_name"/>
      <w:r>
        <w:rPr>
          <w:b/>
          <w:bCs/>
        </w:rPr>
        <w:t>như sau:</w:t>
      </w:r>
      <w:bookmarkEnd w:id="7"/>
    </w:p>
    <w:p w14:paraId="16E167FA" w14:textId="77777777" w:rsidR="00FA2DA8" w:rsidRDefault="00FA2DA8">
      <w:pPr>
        <w:spacing w:before="120" w:after="280" w:afterAutospacing="1"/>
      </w:pPr>
      <w:r>
        <w:rPr>
          <w:b/>
          <w:bCs/>
        </w:rPr>
        <w:t>“Điều 5. Hoạt động vận chuyển</w:t>
      </w:r>
    </w:p>
    <w:p w14:paraId="605E91D9" w14:textId="77777777" w:rsidR="00FA2DA8" w:rsidRDefault="00FA2DA8">
      <w:pPr>
        <w:spacing w:before="120" w:after="280" w:afterAutospacing="1"/>
      </w:pPr>
      <w:r>
        <w:rPr>
          <w:shd w:val="solid" w:color="FFFFFF" w:fill="auto"/>
        </w:rPr>
        <w:t>1. Ủy ban</w:t>
      </w:r>
      <w:r>
        <w:t xml:space="preserve"> nhân dân cấp tỉnh quy định cụ thể:</w:t>
      </w:r>
    </w:p>
    <w:p w14:paraId="270E1C3B" w14:textId="77777777" w:rsidR="00FA2DA8" w:rsidRDefault="00FA2DA8">
      <w:pPr>
        <w:spacing w:before="120" w:after="280" w:afterAutospacing="1"/>
      </w:pPr>
      <w:r>
        <w:t>a) Phạm vi, tuyến đường hoạt động, thời gian hoạt động đối với từng loại phương tiện;</w:t>
      </w:r>
    </w:p>
    <w:p w14:paraId="635DDA93" w14:textId="77777777" w:rsidR="00FA2DA8" w:rsidRDefault="00FA2DA8">
      <w:pPr>
        <w:spacing w:before="120" w:after="280" w:afterAutospacing="1"/>
      </w:pPr>
      <w:r>
        <w:t>b) Vị trí dừng, đỗ và các hoạt động đón, trả hành khách và hàng hóa phải bảo đảm trật tự, an toàn giao thông đường bộ;</w:t>
      </w:r>
    </w:p>
    <w:p w14:paraId="22971CC2" w14:textId="77777777" w:rsidR="00FA2DA8" w:rsidRDefault="00FA2DA8">
      <w:pPr>
        <w:spacing w:before="120" w:after="280" w:afterAutospacing="1"/>
      </w:pPr>
      <w:r>
        <w:t>c) Giới hạn xếp hàng hóa lên xe thô sơ, xe gắn máy, xe mô tô hai bánh, xe mô tô ba bánh và các loại xe tương tự khi tham gia giao thông đường bộ bảo đảm phù hợp với điều kiện của địa phương nhưng không được vượt quá quy định tại khoản 2 Điều này.</w:t>
      </w:r>
    </w:p>
    <w:p w14:paraId="1A3712C6" w14:textId="77777777" w:rsidR="00FA2DA8" w:rsidRDefault="00FA2DA8">
      <w:pPr>
        <w:spacing w:before="120" w:after="280" w:afterAutospacing="1"/>
      </w:pPr>
      <w:r>
        <w:t>2. Quy định về giới hạn chiều cao, chiều rộng và chiều dài xếp hàng hóa lên xe thô sơ, xe gắn máy, xe mô tô hai bánh, xe mô tô ba bánh và các loại xe tương tự, như sau:</w:t>
      </w:r>
    </w:p>
    <w:p w14:paraId="4DD7F6AB" w14:textId="77777777" w:rsidR="00FA2DA8" w:rsidRDefault="00FA2DA8">
      <w:pPr>
        <w:spacing w:before="120" w:after="280" w:afterAutospacing="1"/>
      </w:pPr>
      <w:r>
        <w:t xml:space="preserve">a) Xe gắn máy, xe mô tô hai bánh, xe mô tô ba bánh và các loại xe tương tự không được xếp hàng hóa, hành lý vượt quá bề rộng giá đèo hàng về mỗi bên là 0,3 mét và vượt quá về phía sau </w:t>
      </w:r>
      <w:r>
        <w:lastRenderedPageBreak/>
        <w:t>giá đèo hàng là 0,5 mét theo thiết kế của nhà sản xuất; chiều cao xếp hàng hóa tính từ mặt đường xe chạy là 2,0 mét;</w:t>
      </w:r>
    </w:p>
    <w:p w14:paraId="711ED58F" w14:textId="77777777" w:rsidR="00FA2DA8" w:rsidRDefault="00FA2DA8">
      <w:pPr>
        <w:spacing w:before="120" w:after="280" w:afterAutospacing="1"/>
      </w:pPr>
      <w:r>
        <w:t>b) Xe thô sơ không được xếp hàng hóa vượt phía trước và phía sau quá 1/3 chiều dài thân xe; không được vượt quá 0,4 mét về mỗi bên bánh xe, không vượt phía trước và phía sau xe quá 1,0 mét.</w:t>
      </w:r>
    </w:p>
    <w:p w14:paraId="46F3CE2D" w14:textId="77777777" w:rsidR="00FA2DA8" w:rsidRDefault="00FA2DA8">
      <w:pPr>
        <w:spacing w:before="120" w:after="280" w:afterAutospacing="1"/>
      </w:pPr>
      <w:r>
        <w:t>3. Xe thô sơ, xe gắn máy, xe mô tô hai bánh, xe mô tô ba bánh và các loại xe tương tự vận chuyển hành khách, hàng hóa hoạt động trong phạm vi địa phương nào thì phải tuân theo các quy định của địa phương đó.”.</w:t>
      </w:r>
    </w:p>
    <w:p w14:paraId="12397EAD" w14:textId="77777777" w:rsidR="00FA2DA8" w:rsidRDefault="00FA2DA8">
      <w:pPr>
        <w:spacing w:before="120" w:after="280" w:afterAutospacing="1"/>
      </w:pPr>
      <w:bookmarkStart w:id="8" w:name="dieu_2"/>
      <w:r>
        <w:rPr>
          <w:b/>
          <w:bCs/>
        </w:rPr>
        <w:t>Điều 2. Bổ sung khoản 4</w:t>
      </w:r>
      <w:bookmarkEnd w:id="8"/>
      <w:r>
        <w:rPr>
          <w:b/>
          <w:bCs/>
        </w:rPr>
        <w:t xml:space="preserve"> </w:t>
      </w:r>
      <w:bookmarkStart w:id="9" w:name="dc_2"/>
      <w:r>
        <w:rPr>
          <w:b/>
          <w:bCs/>
        </w:rPr>
        <w:t xml:space="preserve">Điều 8 </w:t>
      </w:r>
      <w:r>
        <w:rPr>
          <w:b/>
          <w:bCs/>
          <w:shd w:val="solid" w:color="FFFFFF" w:fill="auto"/>
        </w:rPr>
        <w:t>của</w:t>
      </w:r>
      <w:r>
        <w:rPr>
          <w:b/>
          <w:bCs/>
        </w:rPr>
        <w:t xml:space="preserve"> Thông tư số 08/2009/TT-BGTVT</w:t>
      </w:r>
      <w:bookmarkEnd w:id="9"/>
      <w:r>
        <w:rPr>
          <w:b/>
          <w:bCs/>
        </w:rPr>
        <w:t xml:space="preserve"> </w:t>
      </w:r>
      <w:bookmarkStart w:id="10" w:name="dieu_2_name"/>
      <w:r>
        <w:rPr>
          <w:b/>
          <w:bCs/>
        </w:rPr>
        <w:t>như sau:</w:t>
      </w:r>
      <w:bookmarkEnd w:id="10"/>
    </w:p>
    <w:p w14:paraId="42BD5CA8" w14:textId="77777777" w:rsidR="00FA2DA8" w:rsidRDefault="00FA2DA8">
      <w:pPr>
        <w:spacing w:before="120" w:after="280" w:afterAutospacing="1"/>
      </w:pPr>
      <w:r>
        <w:t xml:space="preserve">“4. Bãi bỏ </w:t>
      </w:r>
      <w:bookmarkStart w:id="11" w:name="dc_3"/>
      <w:r>
        <w:t>khoản 4, khoản 5 Điều 18 của Thông tư số 07/2010/TT-BGTVT</w:t>
      </w:r>
      <w:bookmarkEnd w:id="11"/>
      <w:r>
        <w:t xml:space="preserve"> ngày 11 tháng 02 năm 2010 của Bộ trưởng Bộ Giao thông vận tải quy định về tải trọng, khổ giới hạn đường bộ; lưu hành xe quá tải trọng, xe quá khổ giới hạn, xe bánh xích trên đường bộ; vận chuyển hàng siêu trường, siêu trọng; giới hạn xếp hàng hóa trên phương tiện giao thông đường bộ khi tham gia giao thông trên đường bộ.”</w:t>
      </w:r>
    </w:p>
    <w:p w14:paraId="75988081" w14:textId="77777777" w:rsidR="00FA2DA8" w:rsidRDefault="00FA2DA8">
      <w:pPr>
        <w:spacing w:before="120" w:after="280" w:afterAutospacing="1"/>
      </w:pPr>
      <w:bookmarkStart w:id="12" w:name="dieu_3"/>
      <w:r>
        <w:rPr>
          <w:b/>
          <w:bCs/>
        </w:rPr>
        <w:t>Điều 3. Hiệu lực thi hành</w:t>
      </w:r>
      <w:bookmarkEnd w:id="12"/>
    </w:p>
    <w:p w14:paraId="7686CF25" w14:textId="77777777" w:rsidR="00FA2DA8" w:rsidRDefault="00FA2DA8">
      <w:pPr>
        <w:spacing w:before="120" w:after="280" w:afterAutospacing="1"/>
      </w:pPr>
      <w:r>
        <w:t>Thông tư này có hiệu lực thi hành kể từ ngày 01 tháng 12 năm 2014.</w:t>
      </w:r>
    </w:p>
    <w:p w14:paraId="2CC5A911" w14:textId="77777777" w:rsidR="00FA2DA8" w:rsidRDefault="00FA2DA8">
      <w:pPr>
        <w:spacing w:before="120" w:after="280" w:afterAutospacing="1"/>
      </w:pPr>
      <w:bookmarkStart w:id="13" w:name="dieu_4"/>
      <w:r>
        <w:rPr>
          <w:b/>
          <w:bCs/>
        </w:rPr>
        <w:t>Điều 4. Tổ chức thực hiện</w:t>
      </w:r>
      <w:bookmarkEnd w:id="13"/>
    </w:p>
    <w:p w14:paraId="35F3B6EF" w14:textId="77777777" w:rsidR="00FA2DA8" w:rsidRDefault="00FA2DA8">
      <w:pPr>
        <w:spacing w:before="120" w:after="280" w:afterAutospacing="1"/>
      </w:pPr>
      <w:r>
        <w:t>Chánh Văn phòng Bộ, Chánh Thanh tra Bộ, các Vụ trưởng, Tổng cục trưởng Tổng cục Đường bộ Việt Nam, Giám đốc Sở Giao thông vận tải các tỉnh, thành phố trực thuộc Trung ương, Thủ trưởng các cơ quan, tổ chức và cá nhân có liên quan chịu trách nhiệm thi hành Thông tư này.</w:t>
      </w:r>
    </w:p>
    <w:p w14:paraId="61BDCCC8" w14:textId="77777777" w:rsidR="00FA2DA8" w:rsidRDefault="00FA2DA8">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0ECFCCDC"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9660C51" w14:textId="77777777" w:rsidR="00FA2DA8" w:rsidRDefault="00FA2DA8">
            <w:pPr>
              <w:spacing w:before="120" w:after="280" w:afterAutospacing="1"/>
            </w:pPr>
            <w:r>
              <w:rPr>
                <w:b/>
                <w:bCs/>
                <w:i/>
                <w:iCs/>
              </w:rPr>
              <w:t> </w:t>
            </w:r>
          </w:p>
          <w:p w14:paraId="6AF35C56" w14:textId="77777777" w:rsidR="00FA2DA8" w:rsidRDefault="00FA2DA8">
            <w:pPr>
              <w:spacing w:before="120"/>
            </w:pPr>
            <w:r>
              <w:rPr>
                <w:b/>
                <w:bCs/>
                <w:i/>
                <w:iCs/>
              </w:rPr>
              <w:t>Nơi nhận:</w:t>
            </w:r>
            <w:r>
              <w:rPr>
                <w:b/>
                <w:bCs/>
                <w:i/>
                <w:iCs/>
              </w:rPr>
              <w:br/>
            </w:r>
            <w:r>
              <w:rPr>
                <w:sz w:val="16"/>
              </w:rPr>
              <w:t>- Như Điều 4;</w:t>
            </w:r>
            <w:r>
              <w:rPr>
                <w:sz w:val="16"/>
              </w:rPr>
              <w:br/>
              <w:t>- Văn phòng Chính phủ;</w:t>
            </w:r>
            <w:r>
              <w:rPr>
                <w:sz w:val="16"/>
              </w:rPr>
              <w:br/>
              <w:t>- Các Bộ, cơ quan ngang Bộ, cơ quan thuộc Chính phủ;</w:t>
            </w:r>
            <w:r>
              <w:rPr>
                <w:sz w:val="16"/>
              </w:rPr>
              <w:br/>
              <w:t>- UBND tỉnh, thành phố trực thuộc TW;</w:t>
            </w:r>
            <w:r>
              <w:rPr>
                <w:sz w:val="16"/>
              </w:rPr>
              <w:br/>
              <w:t>- Các Thứ trưởng Bộ GTVT;</w:t>
            </w:r>
            <w:r>
              <w:rPr>
                <w:sz w:val="16"/>
              </w:rPr>
              <w:br/>
              <w:t>- Cục Kiểm tra văn bản (Bộ Tư pháp);</w:t>
            </w:r>
            <w:r>
              <w:rPr>
                <w:sz w:val="16"/>
              </w:rPr>
              <w:br/>
              <w:t>- Công báo;</w:t>
            </w:r>
            <w:r>
              <w:rPr>
                <w:sz w:val="16"/>
              </w:rPr>
              <w:br/>
              <w:t xml:space="preserve">- Cổng TTĐT Chính phủ; </w:t>
            </w:r>
            <w:r>
              <w:rPr>
                <w:sz w:val="16"/>
              </w:rPr>
              <w:br/>
              <w:t>- Trang TTĐT Bộ GTVT;</w:t>
            </w:r>
            <w:r>
              <w:rPr>
                <w:sz w:val="16"/>
              </w:rPr>
              <w:br/>
              <w:t>- Báo GT, Tạp chí GTVT,</w:t>
            </w:r>
            <w:r>
              <w:rPr>
                <w:sz w:val="16"/>
              </w:rPr>
              <w:br/>
              <w:t>- Lưu: VT, VTải(tr5).</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52A3213" w14:textId="77777777" w:rsidR="00FA2DA8" w:rsidRDefault="00FA2DA8">
            <w:pPr>
              <w:spacing w:before="120"/>
              <w:jc w:val="center"/>
            </w:pPr>
            <w:r>
              <w:rPr>
                <w:b/>
                <w:bCs/>
              </w:rPr>
              <w:t>BỘ TRƯỞNG</w:t>
            </w:r>
            <w:r>
              <w:rPr>
                <w:b/>
                <w:bCs/>
              </w:rPr>
              <w:br/>
            </w:r>
            <w:r>
              <w:rPr>
                <w:b/>
                <w:bCs/>
              </w:rPr>
              <w:br/>
            </w:r>
            <w:r>
              <w:rPr>
                <w:b/>
                <w:bCs/>
              </w:rPr>
              <w:br/>
            </w:r>
            <w:r>
              <w:rPr>
                <w:b/>
                <w:bCs/>
              </w:rPr>
              <w:br/>
            </w:r>
            <w:r>
              <w:rPr>
                <w:b/>
                <w:bCs/>
              </w:rPr>
              <w:br/>
              <w:t>Đinh La Thăng</w:t>
            </w:r>
          </w:p>
        </w:tc>
      </w:tr>
    </w:tbl>
    <w:p w14:paraId="54F2D21D" w14:textId="77777777" w:rsidR="00FA2DA8" w:rsidRDefault="00FA2DA8">
      <w:pPr>
        <w:spacing w:before="120" w:after="280" w:afterAutospacing="1"/>
      </w:pPr>
      <w:r>
        <w:rPr>
          <w:b/>
          <w:bCs/>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A2DA8"/>
    <w:rsid w:val="00FA2DA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659D98"/>
  <w15:chartTrackingRefBased/>
  <w15:docId w15:val="{5E972769-5B09-45F5-BA39-000B0B07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3130</Characters>
  <Application>Microsoft Office Word</Application>
  <DocSecurity>0</DocSecurity>
  <Lines>26</Lines>
  <Paragraphs>7</Paragraphs>
  <ScaleCrop>false</ScaleCrop>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2025-01-02T20:49:00Z</dcterms:created>
  <dcterms:modified xsi:type="dcterms:W3CDTF">2025-01-02T20:49:00Z</dcterms:modified>
</cp:coreProperties>
</file>