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B5033" w14:textId="77777777" w:rsidR="003547B3" w:rsidRDefault="00F31E39" w:rsidP="00F31E39">
      <w:pPr>
        <w:spacing w:before="120" w:after="120" w:line="360" w:lineRule="auto"/>
        <w:jc w:val="both"/>
        <w:rPr>
          <w:rFonts w:asciiTheme="minorHAnsi" w:hAnsiTheme="minorHAnsi"/>
          <w:b/>
          <w:color w:val="000000"/>
          <w:lang w:val="en-US"/>
        </w:rPr>
      </w:pPr>
      <w:r>
        <w:rPr>
          <w:rFonts w:ascii="Times New Roman Bold" w:hAnsi="Times New Roman Bold"/>
          <w:b/>
          <w:noProof/>
          <w:color w:val="000000"/>
          <w:lang w:val="en-US"/>
        </w:rPr>
        <w:drawing>
          <wp:inline distT="0" distB="0" distL="0" distR="0" wp14:anchorId="56401510" wp14:editId="69DA284F">
            <wp:extent cx="2860040" cy="190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14:paraId="50E0769D" w14:textId="77777777" w:rsidR="00753682" w:rsidRPr="00F31E39" w:rsidRDefault="009D5287" w:rsidP="003547B3">
      <w:pPr>
        <w:spacing w:before="120" w:after="120" w:line="360" w:lineRule="auto"/>
        <w:ind w:firstLine="561"/>
        <w:jc w:val="both"/>
        <w:rPr>
          <w:rFonts w:ascii="Times New Roman Bold" w:hAnsi="Times New Roman Bold"/>
          <w:bCs/>
          <w:color w:val="000000"/>
          <w:lang w:val="en-US"/>
        </w:rPr>
      </w:pPr>
      <w:r w:rsidRPr="00F31E39">
        <w:rPr>
          <w:rFonts w:ascii="Times New Roman Bold" w:hAnsi="Times New Roman Bold"/>
          <w:b/>
          <w:color w:val="000000"/>
        </w:rPr>
        <w:t>Câu hỏi:</w:t>
      </w:r>
      <w:r w:rsidR="00F31E39">
        <w:rPr>
          <w:rFonts w:asciiTheme="minorHAnsi" w:hAnsiTheme="minorHAnsi"/>
          <w:b/>
          <w:color w:val="000000"/>
          <w:lang w:val="en-US"/>
        </w:rPr>
        <w:t xml:space="preserve"> </w:t>
      </w:r>
      <w:r w:rsidR="00AF1BF8" w:rsidRPr="00F31E39">
        <w:rPr>
          <w:b/>
          <w:bCs/>
          <w:color w:val="000000"/>
          <w:lang w:val="en-US"/>
        </w:rPr>
        <w:t xml:space="preserve">Luật Trật tự, an toàn giao thông đường bộ </w:t>
      </w:r>
      <w:r w:rsidR="00F31E39">
        <w:rPr>
          <w:b/>
          <w:bCs/>
          <w:color w:val="000000"/>
          <w:lang w:val="en-US"/>
        </w:rPr>
        <w:t xml:space="preserve">quy định </w:t>
      </w:r>
      <w:r w:rsidR="003547B3">
        <w:rPr>
          <w:b/>
          <w:bCs/>
          <w:color w:val="000000"/>
          <w:lang w:val="en-US"/>
        </w:rPr>
        <w:t xml:space="preserve">về  biển số xe </w:t>
      </w:r>
      <w:r w:rsidR="00AF1BF8" w:rsidRPr="00F31E39">
        <w:rPr>
          <w:b/>
          <w:bCs/>
          <w:color w:val="000000"/>
          <w:lang w:val="en-US"/>
        </w:rPr>
        <w:t>như thế nào</w:t>
      </w:r>
      <w:r w:rsidRPr="00F31E39">
        <w:rPr>
          <w:rFonts w:ascii="Times New Roman Bold" w:hAnsi="Times New Roman Bold"/>
          <w:b/>
          <w:color w:val="000000"/>
        </w:rPr>
        <w:t>?</w:t>
      </w:r>
    </w:p>
    <w:p w14:paraId="4E3346D1" w14:textId="77777777" w:rsidR="003547B3" w:rsidRPr="003547B3" w:rsidRDefault="009D5287" w:rsidP="003547B3">
      <w:pPr>
        <w:spacing w:before="120" w:after="120" w:line="360" w:lineRule="auto"/>
        <w:ind w:firstLine="561"/>
        <w:jc w:val="both"/>
        <w:rPr>
          <w:bCs/>
          <w:color w:val="000000"/>
          <w:lang w:val="en-US"/>
        </w:rPr>
      </w:pPr>
      <w:r w:rsidRPr="00F31E39">
        <w:rPr>
          <w:b/>
          <w:color w:val="000000"/>
        </w:rPr>
        <w:t xml:space="preserve">Trả lời: </w:t>
      </w:r>
      <w:bookmarkStart w:id="0" w:name="dieu_36"/>
      <w:r w:rsidR="003547B3" w:rsidRPr="003547B3">
        <w:rPr>
          <w:bCs/>
          <w:color w:val="000000"/>
          <w:lang w:val="es-ES"/>
        </w:rPr>
        <w:t>Điều 36</w:t>
      </w:r>
      <w:r w:rsidR="003547B3">
        <w:rPr>
          <w:bCs/>
          <w:color w:val="000000"/>
          <w:lang w:val="es-ES"/>
        </w:rPr>
        <w:t xml:space="preserve"> </w:t>
      </w:r>
      <w:r w:rsidR="003547B3" w:rsidRPr="003547B3">
        <w:rPr>
          <w:bCs/>
          <w:color w:val="000000"/>
          <w:lang w:val="es-ES"/>
        </w:rPr>
        <w:t xml:space="preserve">Luật Trật tự, an toàn giao thông đường bộ quy định về  </w:t>
      </w:r>
      <w:r w:rsidR="003547B3">
        <w:rPr>
          <w:bCs/>
          <w:color w:val="000000"/>
          <w:lang w:val="es-ES"/>
        </w:rPr>
        <w:t>b</w:t>
      </w:r>
      <w:r w:rsidR="003547B3" w:rsidRPr="003547B3">
        <w:rPr>
          <w:bCs/>
          <w:color w:val="000000"/>
          <w:lang w:val="es-ES"/>
        </w:rPr>
        <w:t>iển số xe</w:t>
      </w:r>
      <w:bookmarkEnd w:id="0"/>
      <w:r w:rsidR="003547B3">
        <w:rPr>
          <w:bCs/>
          <w:color w:val="000000"/>
          <w:lang w:val="es-ES"/>
        </w:rPr>
        <w:t xml:space="preserve">  như sau:</w:t>
      </w:r>
    </w:p>
    <w:p w14:paraId="20309B57" w14:textId="77777777" w:rsidR="003547B3" w:rsidRPr="003547B3" w:rsidRDefault="003547B3" w:rsidP="003547B3">
      <w:pPr>
        <w:spacing w:before="120" w:after="120" w:line="360" w:lineRule="auto"/>
        <w:ind w:firstLine="561"/>
        <w:jc w:val="both"/>
        <w:rPr>
          <w:bCs/>
          <w:color w:val="000000"/>
          <w:lang w:val="en-US"/>
        </w:rPr>
      </w:pPr>
      <w:r w:rsidRPr="003547B3">
        <w:rPr>
          <w:b/>
          <w:bCs/>
          <w:color w:val="000000"/>
          <w:lang w:val="pt-BR"/>
        </w:rPr>
        <w:t>1</w:t>
      </w:r>
      <w:r w:rsidRPr="003547B3">
        <w:rPr>
          <w:bCs/>
          <w:color w:val="000000"/>
          <w:lang w:val="pt-BR"/>
        </w:rPr>
        <w:t xml:space="preserve">. Biển số xe do cơ quan nhà nước có thẩm quyền cấp theo quy định tại </w:t>
      </w:r>
      <w:bookmarkStart w:id="1" w:name="tc_6"/>
      <w:r w:rsidRPr="003547B3">
        <w:rPr>
          <w:bCs/>
          <w:color w:val="000000"/>
          <w:lang w:val="pt-BR"/>
        </w:rPr>
        <w:t>Điều 37 và Điều 39 của Luật này</w:t>
      </w:r>
      <w:bookmarkEnd w:id="1"/>
      <w:r w:rsidRPr="003547B3">
        <w:rPr>
          <w:bCs/>
          <w:color w:val="000000"/>
          <w:lang w:val="pt-BR"/>
        </w:rPr>
        <w:t>; được gắn vào phương tiện giao thông đường bộ theo quy định của Luật này để phục vụ quản lý nhà nước.</w:t>
      </w:r>
    </w:p>
    <w:p w14:paraId="03C4232A" w14:textId="77777777" w:rsidR="003547B3" w:rsidRPr="003547B3" w:rsidRDefault="003547B3" w:rsidP="003547B3">
      <w:pPr>
        <w:spacing w:before="120" w:after="120" w:line="360" w:lineRule="auto"/>
        <w:ind w:firstLine="561"/>
        <w:jc w:val="both"/>
        <w:rPr>
          <w:bCs/>
          <w:color w:val="000000"/>
          <w:spacing w:val="-8"/>
          <w:lang w:val="en-US"/>
        </w:rPr>
      </w:pPr>
      <w:r w:rsidRPr="003547B3">
        <w:rPr>
          <w:b/>
          <w:bCs/>
          <w:color w:val="000000"/>
          <w:spacing w:val="-8"/>
          <w:lang w:val="pt-BR"/>
        </w:rPr>
        <w:t>2</w:t>
      </w:r>
      <w:r w:rsidRPr="003547B3">
        <w:rPr>
          <w:bCs/>
          <w:color w:val="000000"/>
          <w:spacing w:val="-8"/>
          <w:lang w:val="pt-BR"/>
        </w:rPr>
        <w:t>. Biển số xe được phân loại như sau:</w:t>
      </w:r>
    </w:p>
    <w:p w14:paraId="1685AB79"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en-US"/>
        </w:rPr>
        <w:t>a</w:t>
      </w:r>
      <w:r w:rsidRPr="003547B3">
        <w:rPr>
          <w:bCs/>
          <w:color w:val="000000"/>
          <w:lang w:val="pt-BR"/>
        </w:rPr>
        <w:t>) Biển số xe nền màu xanh, chữ và số màu trắng cấp cho xe của cơ quan Đảng, Nhà nước, tổ chức chính trị - xã hội, đơn vị sự nghiệp công lập;</w:t>
      </w:r>
    </w:p>
    <w:p w14:paraId="210FF0B0"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en-US"/>
        </w:rPr>
        <w:t>b</w:t>
      </w:r>
      <w:r w:rsidRPr="003547B3">
        <w:rPr>
          <w:bCs/>
          <w:color w:val="000000"/>
          <w:lang w:val="pt-BR"/>
        </w:rPr>
        <w:t>) Biển số xe nền màu đỏ, chữ và số màu trắng cấp cho xe quân sự</w:t>
      </w:r>
      <w:r w:rsidRPr="003547B3">
        <w:rPr>
          <w:bCs/>
          <w:color w:val="000000"/>
          <w:lang w:val="en-US"/>
        </w:rPr>
        <w:t>;</w:t>
      </w:r>
    </w:p>
    <w:p w14:paraId="7B915E76"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pt-BR"/>
        </w:rPr>
        <w:t>c) Biển số xe nền màu vàng, chữ và số màu đen cấp cho xe hoạt động kinh doanh vận tải</w:t>
      </w:r>
      <w:r w:rsidRPr="003547B3">
        <w:rPr>
          <w:bCs/>
          <w:color w:val="000000"/>
          <w:lang w:val="en-US"/>
        </w:rPr>
        <w:t>;</w:t>
      </w:r>
    </w:p>
    <w:p w14:paraId="12E1BC7F"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en-US"/>
        </w:rPr>
        <w:t>d</w:t>
      </w:r>
      <w:r w:rsidRPr="003547B3">
        <w:rPr>
          <w:bCs/>
          <w:color w:val="000000"/>
          <w:lang w:val="pt-BR"/>
        </w:rPr>
        <w:t>) Biển số xe nền màu trắng, chữ và số màu đen cấp cho xe của các tổ chức, cá nhân trong nước, không thuộc đối tượng quy định tại các điểm a</w:t>
      </w:r>
      <w:r w:rsidRPr="003547B3">
        <w:rPr>
          <w:bCs/>
          <w:color w:val="000000"/>
          <w:lang w:val="en-US"/>
        </w:rPr>
        <w:t xml:space="preserve">, b và c </w:t>
      </w:r>
      <w:r w:rsidRPr="003547B3">
        <w:rPr>
          <w:bCs/>
          <w:color w:val="000000"/>
          <w:lang w:val="pt-BR"/>
        </w:rPr>
        <w:t>khoản này;</w:t>
      </w:r>
    </w:p>
    <w:p w14:paraId="79090FB4"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en-US"/>
        </w:rPr>
        <w:t>đ</w:t>
      </w:r>
      <w:r w:rsidRPr="003547B3">
        <w:rPr>
          <w:bCs/>
          <w:color w:val="000000"/>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14:paraId="6BAC55BD"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en-US"/>
        </w:rPr>
        <w:t>e</w:t>
      </w:r>
      <w:r w:rsidRPr="003547B3">
        <w:rPr>
          <w:bCs/>
          <w:color w:val="000000"/>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14:paraId="4D621C7C"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14:paraId="47EB9F62"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pt-BR"/>
        </w:rPr>
        <w:t>h) Biển số xe nền màu trắng, chữ và số màu đen, có ký hiệu “NN” cấp cho xe của tổ chức, văn phòng đại diện, cá nhân nước ngoài, trừ đối tượng quy định tại điểm g khoản này;</w:t>
      </w:r>
    </w:p>
    <w:p w14:paraId="354E4061" w14:textId="77777777" w:rsidR="003547B3" w:rsidRPr="003547B3" w:rsidRDefault="003547B3" w:rsidP="003547B3">
      <w:pPr>
        <w:spacing w:before="120" w:after="120" w:line="360" w:lineRule="auto"/>
        <w:ind w:firstLine="561"/>
        <w:jc w:val="both"/>
        <w:rPr>
          <w:bCs/>
          <w:color w:val="000000"/>
          <w:lang w:val="en-US"/>
        </w:rPr>
      </w:pPr>
      <w:bookmarkStart w:id="2" w:name="diem_i_2_36"/>
      <w:r w:rsidRPr="003547B3">
        <w:rPr>
          <w:bCs/>
          <w:color w:val="000000"/>
          <w:lang w:val="pt-BR"/>
        </w:rPr>
        <w:t>i) Biển số xe loại khác theo quy định của Bộ trưởng Bộ Công an.</w:t>
      </w:r>
      <w:bookmarkEnd w:id="2"/>
    </w:p>
    <w:p w14:paraId="1608918C" w14:textId="77777777" w:rsidR="003547B3" w:rsidRPr="003547B3" w:rsidRDefault="003547B3" w:rsidP="003547B3">
      <w:pPr>
        <w:spacing w:before="120" w:after="120" w:line="360" w:lineRule="auto"/>
        <w:ind w:firstLine="561"/>
        <w:jc w:val="both"/>
        <w:rPr>
          <w:bCs/>
          <w:color w:val="000000"/>
          <w:lang w:val="en-US"/>
        </w:rPr>
      </w:pPr>
      <w:r w:rsidRPr="003547B3">
        <w:rPr>
          <w:b/>
          <w:bCs/>
          <w:color w:val="000000"/>
          <w:lang w:val="pt-BR"/>
        </w:rPr>
        <w:lastRenderedPageBreak/>
        <w:t>3</w:t>
      </w:r>
      <w:r w:rsidRPr="003547B3">
        <w:rPr>
          <w:bCs/>
          <w:color w:val="000000"/>
          <w:lang w:val="pt-BR"/>
        </w:rPr>
        <w:t>. Biển số xe được quản lý theo mã định danh, trừ biển số xe quy định tại điểm b khoản 2 Điều này. Việc quản lý biển số xe theo mã định danh được quy định như sau:</w:t>
      </w:r>
    </w:p>
    <w:p w14:paraId="61C46633"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14:paraId="46919129"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w:t>
      </w:r>
      <w:r w:rsidRPr="003547B3">
        <w:rPr>
          <w:bCs/>
          <w:color w:val="000000"/>
          <w:lang w:val="pt-BR"/>
        </w:rPr>
        <w:t xml:space="preserve">nhượng, trao đổi, tặng cho, để thừa kế xe gắn với biển số xe trúng đấu giá; </w:t>
      </w:r>
    </w:p>
    <w:p w14:paraId="597ABB8B" w14:textId="77777777" w:rsidR="003547B3" w:rsidRPr="003547B3" w:rsidRDefault="003547B3" w:rsidP="003547B3">
      <w:pPr>
        <w:spacing w:before="120" w:after="120" w:line="360" w:lineRule="auto"/>
        <w:ind w:firstLine="561"/>
        <w:jc w:val="both"/>
        <w:rPr>
          <w:bCs/>
          <w:color w:val="000000"/>
          <w:lang w:val="en-US"/>
        </w:rPr>
      </w:pPr>
      <w:r w:rsidRPr="003547B3">
        <w:rPr>
          <w:bCs/>
          <w:color w:val="000000"/>
          <w:lang w:val="pt-BR"/>
        </w:rPr>
        <w:t>c</w:t>
      </w:r>
      <w:r w:rsidRPr="003547B3">
        <w:rPr>
          <w:bCs/>
          <w:color w:val="000000"/>
          <w:spacing w:val="4"/>
          <w:lang w:val="pt-BR"/>
        </w:rPr>
        <w:t xml:space="preserve">) Trường hợp chủ xe có thay đổi thông tin về trụ sở, nơi thường trú, tạm trú thì được giữ lại số biển số xe định danh. </w:t>
      </w:r>
    </w:p>
    <w:p w14:paraId="5479A1AE" w14:textId="77777777" w:rsidR="003547B3" w:rsidRDefault="003547B3" w:rsidP="003547B3">
      <w:pPr>
        <w:spacing w:before="120" w:after="120" w:line="360" w:lineRule="auto"/>
        <w:ind w:firstLine="561"/>
        <w:jc w:val="both"/>
        <w:rPr>
          <w:bCs/>
          <w:color w:val="000000"/>
          <w:lang w:val="pt-BR"/>
        </w:rPr>
      </w:pPr>
      <w:bookmarkStart w:id="3" w:name="khoan_4_36"/>
      <w:r w:rsidRPr="003547B3">
        <w:rPr>
          <w:b/>
          <w:bCs/>
          <w:color w:val="000000"/>
          <w:lang w:val="pt-BR"/>
        </w:rPr>
        <w:t>4</w:t>
      </w:r>
      <w:r w:rsidRPr="003547B3">
        <w:rPr>
          <w:bCs/>
          <w:color w:val="000000"/>
          <w:lang w:val="pt-BR"/>
        </w:rPr>
        <w:t>. Bộ trưởng Bộ Công an quy định quy chuẩn kỹ thuật quốc gia về biển số xe; đối với biển số xe thuộc phạm vi quản lý của Bộ Quốc phòng do Bộ trưởng Bộ Quốc phòng quy định quy chuẩn kỹ thuật.</w:t>
      </w:r>
      <w:bookmarkEnd w:id="3"/>
      <w:r>
        <w:rPr>
          <w:bCs/>
          <w:color w:val="000000"/>
          <w:lang w:val="pt-BR"/>
        </w:rPr>
        <w:t>/.</w:t>
      </w:r>
    </w:p>
    <w:p w14:paraId="593C7669" w14:textId="2AA8BBB1" w:rsidR="003547B3" w:rsidRDefault="00000896" w:rsidP="003547B3">
      <w:pPr>
        <w:spacing w:before="120" w:after="120" w:line="360" w:lineRule="auto"/>
        <w:ind w:firstLine="561"/>
        <w:jc w:val="both"/>
        <w:rPr>
          <w:bCs/>
          <w:color w:val="000000"/>
          <w:lang w:val="pt-BR"/>
        </w:rPr>
      </w:pPr>
      <w:r>
        <w:rPr>
          <w:bCs/>
          <w:noProof/>
          <w:color w:val="000000"/>
          <w:spacing w:val="-2"/>
          <w:sz w:val="27"/>
          <w:szCs w:val="27"/>
          <w:lang w:val="en-US"/>
        </w:rPr>
        <w:drawing>
          <wp:inline distT="0" distB="0" distL="0" distR="0" wp14:anchorId="263530DF" wp14:editId="61A09DFF">
            <wp:extent cx="23907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3).jpg"/>
                    <pic:cNvPicPr/>
                  </pic:nvPicPr>
                  <pic:blipFill>
                    <a:blip r:embed="rId5">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p>
    <w:p w14:paraId="7F97910D" w14:textId="07C4FCAC" w:rsidR="003547B3" w:rsidRPr="003547B3" w:rsidRDefault="003547B3" w:rsidP="003547B3">
      <w:pPr>
        <w:spacing w:before="120" w:after="120" w:line="360" w:lineRule="auto"/>
        <w:jc w:val="both"/>
        <w:rPr>
          <w:bCs/>
          <w:color w:val="000000"/>
          <w:lang w:val="en-US"/>
        </w:rPr>
      </w:pPr>
    </w:p>
    <w:p w14:paraId="6C1C2775" w14:textId="77777777" w:rsidR="00753682" w:rsidRDefault="009D5287" w:rsidP="00AF1BF8">
      <w:pPr>
        <w:jc w:val="center"/>
        <w:rPr>
          <w:sz w:val="26"/>
          <w:szCs w:val="26"/>
        </w:rPr>
      </w:pPr>
      <w:r>
        <w:rPr>
          <w:sz w:val="26"/>
          <w:szCs w:val="26"/>
        </w:rPr>
        <w:t>BỘ CÔNG AN</w:t>
      </w:r>
    </w:p>
    <w:p w14:paraId="0F22AE04" w14:textId="77777777" w:rsidR="00753682" w:rsidRDefault="009D5287" w:rsidP="00AF1BF8">
      <w:pPr>
        <w:jc w:val="center"/>
        <w:rPr>
          <w:sz w:val="22"/>
          <w:szCs w:val="22"/>
        </w:rPr>
      </w:pPr>
      <w:r>
        <w:rPr>
          <w:b/>
          <w:sz w:val="26"/>
          <w:szCs w:val="26"/>
        </w:rPr>
        <w:t>CỤC PHÁP CHẾ VÀ CẢI CÁCH            HÀNH CHÍNH, TƯ PHÁP</w:t>
      </w:r>
    </w:p>
    <w:p w14:paraId="407A8254"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528B8493" wp14:editId="4D69E979">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747881B9"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36E6B72B" w14:textId="77777777" w:rsidR="00753682" w:rsidRDefault="00753682">
      <w:pPr>
        <w:spacing w:before="80"/>
        <w:jc w:val="center"/>
        <w:rPr>
          <w:sz w:val="24"/>
          <w:szCs w:val="24"/>
          <w:lang w:val="en-US"/>
        </w:rPr>
      </w:pPr>
    </w:p>
    <w:p w14:paraId="4C0DC09E" w14:textId="77777777"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2F7FDC17" w14:textId="77777777" w:rsidTr="00423B92">
        <w:trPr>
          <w:trHeight w:val="1376"/>
        </w:trPr>
        <w:tc>
          <w:tcPr>
            <w:tcW w:w="4644" w:type="dxa"/>
          </w:tcPr>
          <w:p w14:paraId="46A338A0" w14:textId="77777777" w:rsidR="003547B3" w:rsidRDefault="00C660FE" w:rsidP="001A18EB">
            <w:pPr>
              <w:tabs>
                <w:tab w:val="left" w:pos="4392"/>
              </w:tabs>
              <w:ind w:right="-108"/>
              <w:jc w:val="center"/>
              <w:rPr>
                <w:b/>
                <w:sz w:val="26"/>
                <w:szCs w:val="26"/>
                <w:lang w:val="en-US"/>
              </w:rPr>
            </w:pPr>
            <w:r>
              <w:rPr>
                <w:b/>
                <w:sz w:val="26"/>
                <w:szCs w:val="26"/>
                <w:lang w:val="en-US"/>
              </w:rPr>
              <w:t xml:space="preserve">QUY ĐỊNH </w:t>
            </w:r>
          </w:p>
          <w:p w14:paraId="7EC03A0C" w14:textId="77777777" w:rsidR="00CA5D52" w:rsidRPr="00002B88" w:rsidRDefault="001A18EB" w:rsidP="003547B3">
            <w:pPr>
              <w:tabs>
                <w:tab w:val="left" w:pos="4392"/>
              </w:tabs>
              <w:ind w:right="-108"/>
              <w:jc w:val="center"/>
              <w:rPr>
                <w:rFonts w:ascii="Times New Roman Bold" w:hAnsi="Times New Roman Bold"/>
                <w:spacing w:val="-6"/>
                <w:sz w:val="26"/>
                <w:szCs w:val="26"/>
                <w:lang w:val="en-US"/>
              </w:rPr>
            </w:pPr>
            <w:r>
              <w:rPr>
                <w:rFonts w:ascii="Times New Roman Bold" w:hAnsi="Times New Roman Bold"/>
                <w:b/>
                <w:spacing w:val="-6"/>
                <w:sz w:val="26"/>
                <w:szCs w:val="26"/>
                <w:lang w:val="en-US"/>
              </w:rPr>
              <w:t xml:space="preserve">VỀ </w:t>
            </w:r>
            <w:r w:rsidR="003547B3">
              <w:rPr>
                <w:rFonts w:ascii="Times New Roman Bold" w:hAnsi="Times New Roman Bold"/>
                <w:b/>
                <w:bCs/>
                <w:color w:val="000000"/>
                <w:spacing w:val="4"/>
                <w:sz w:val="26"/>
                <w:szCs w:val="26"/>
                <w:lang w:val="en-US"/>
              </w:rPr>
              <w:t>BIỂN SỐ XE</w:t>
            </w:r>
          </w:p>
        </w:tc>
      </w:tr>
    </w:tbl>
    <w:p w14:paraId="572B3067" w14:textId="77777777" w:rsidR="00753682" w:rsidRPr="00A75B75" w:rsidRDefault="00753682">
      <w:pPr>
        <w:spacing w:before="80"/>
        <w:ind w:firstLine="567"/>
        <w:jc w:val="both"/>
        <w:rPr>
          <w:sz w:val="24"/>
          <w:szCs w:val="24"/>
          <w:lang w:val="en-US"/>
        </w:rPr>
      </w:pPr>
    </w:p>
    <w:p w14:paraId="2EECB54A"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49F39181" w14:textId="77777777" w:rsidR="00753682" w:rsidRDefault="00753682">
      <w:pPr>
        <w:spacing w:before="80"/>
        <w:jc w:val="both"/>
        <w:rPr>
          <w:sz w:val="24"/>
          <w:szCs w:val="24"/>
        </w:rPr>
      </w:pPr>
    </w:p>
    <w:p w14:paraId="2021CF7E" w14:textId="77777777" w:rsidR="00753682" w:rsidRDefault="009D5287">
      <w:pPr>
        <w:spacing w:before="80"/>
        <w:jc w:val="center"/>
        <w:rPr>
          <w:sz w:val="24"/>
          <w:szCs w:val="24"/>
        </w:rPr>
      </w:pPr>
      <w:r>
        <w:rPr>
          <w:noProof/>
          <w:sz w:val="24"/>
          <w:szCs w:val="24"/>
          <w:lang w:val="en-US"/>
        </w:rPr>
        <w:drawing>
          <wp:inline distT="114300" distB="114300" distL="114300" distR="114300" wp14:anchorId="732E9A46" wp14:editId="5DE16F08">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36525" cy="2537123"/>
                    </a:xfrm>
                    <a:prstGeom prst="rect">
                      <a:avLst/>
                    </a:prstGeom>
                    <a:ln/>
                  </pic:spPr>
                </pic:pic>
              </a:graphicData>
            </a:graphic>
          </wp:inline>
        </w:drawing>
      </w:r>
    </w:p>
    <w:p w14:paraId="4C21CF24" w14:textId="77777777" w:rsidR="00002B88" w:rsidRDefault="00002B88">
      <w:pPr>
        <w:spacing w:before="80"/>
        <w:jc w:val="center"/>
        <w:rPr>
          <w:b/>
          <w:sz w:val="24"/>
          <w:szCs w:val="24"/>
          <w:lang w:val="en-US"/>
        </w:rPr>
      </w:pPr>
    </w:p>
    <w:p w14:paraId="48148506"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00896"/>
    <w:rsid w:val="00002B88"/>
    <w:rsid w:val="00003956"/>
    <w:rsid w:val="00013067"/>
    <w:rsid w:val="0010179B"/>
    <w:rsid w:val="00174D56"/>
    <w:rsid w:val="001A18EB"/>
    <w:rsid w:val="001C06AC"/>
    <w:rsid w:val="001C10C3"/>
    <w:rsid w:val="00204DCF"/>
    <w:rsid w:val="002827C0"/>
    <w:rsid w:val="002834B4"/>
    <w:rsid w:val="0029410B"/>
    <w:rsid w:val="0031418A"/>
    <w:rsid w:val="003225B8"/>
    <w:rsid w:val="003547B3"/>
    <w:rsid w:val="00376291"/>
    <w:rsid w:val="00385487"/>
    <w:rsid w:val="00387B60"/>
    <w:rsid w:val="003A3F14"/>
    <w:rsid w:val="00423B92"/>
    <w:rsid w:val="00455F0B"/>
    <w:rsid w:val="004E3703"/>
    <w:rsid w:val="005A0C86"/>
    <w:rsid w:val="005D7106"/>
    <w:rsid w:val="00676D92"/>
    <w:rsid w:val="006A7C83"/>
    <w:rsid w:val="006E6383"/>
    <w:rsid w:val="00727718"/>
    <w:rsid w:val="007500F7"/>
    <w:rsid w:val="00753682"/>
    <w:rsid w:val="007E783A"/>
    <w:rsid w:val="00826EB5"/>
    <w:rsid w:val="008779C9"/>
    <w:rsid w:val="00892496"/>
    <w:rsid w:val="008F39F4"/>
    <w:rsid w:val="0096719B"/>
    <w:rsid w:val="009D5287"/>
    <w:rsid w:val="00A05820"/>
    <w:rsid w:val="00A512E1"/>
    <w:rsid w:val="00A75B75"/>
    <w:rsid w:val="00AB5BF8"/>
    <w:rsid w:val="00AF1BF8"/>
    <w:rsid w:val="00B007FD"/>
    <w:rsid w:val="00B5536B"/>
    <w:rsid w:val="00C660FE"/>
    <w:rsid w:val="00CA5D52"/>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E209"/>
  <w15:docId w15:val="{DB5D8CBA-E853-4D5B-8DA3-76639382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2024-11-27T13:52:00Z</dcterms:created>
  <dcterms:modified xsi:type="dcterms:W3CDTF">2024-12-13T10:41:00Z</dcterms:modified>
</cp:coreProperties>
</file>