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82" w:rsidRPr="008E4F38" w:rsidRDefault="009D5287" w:rsidP="008E4F38">
      <w:pPr>
        <w:spacing w:before="60" w:after="60" w:line="336" w:lineRule="auto"/>
        <w:ind w:firstLine="561"/>
        <w:jc w:val="both"/>
        <w:rPr>
          <w:rFonts w:ascii="Times New Roman Bold" w:hAnsi="Times New Roman Bold"/>
          <w:bCs/>
          <w:color w:val="000000"/>
          <w:sz w:val="26"/>
          <w:szCs w:val="26"/>
          <w:lang w:val="en-US"/>
        </w:rPr>
      </w:pPr>
      <w:r w:rsidRPr="008E4F38">
        <w:rPr>
          <w:rFonts w:ascii="Times New Roman Bold" w:hAnsi="Times New Roman Bold"/>
          <w:b/>
          <w:color w:val="000000"/>
          <w:sz w:val="26"/>
          <w:szCs w:val="26"/>
        </w:rPr>
        <w:t>Câu hỏi:</w:t>
      </w:r>
      <w:r w:rsidR="00F31E39" w:rsidRPr="008E4F38">
        <w:rPr>
          <w:rFonts w:asciiTheme="minorHAnsi" w:hAnsiTheme="minorHAnsi"/>
          <w:b/>
          <w:color w:val="000000"/>
          <w:sz w:val="26"/>
          <w:szCs w:val="26"/>
          <w:lang w:val="en-US"/>
        </w:rPr>
        <w:t xml:space="preserve"> </w:t>
      </w:r>
      <w:r w:rsidR="00AF1BF8" w:rsidRPr="008E4F38">
        <w:rPr>
          <w:b/>
          <w:bCs/>
          <w:color w:val="000000"/>
          <w:sz w:val="26"/>
          <w:szCs w:val="26"/>
          <w:lang w:val="en-US"/>
        </w:rPr>
        <w:t xml:space="preserve">Luật Trật tự, an toàn giao thông đường bộ </w:t>
      </w:r>
      <w:r w:rsidR="00F31E39" w:rsidRPr="008E4F38">
        <w:rPr>
          <w:b/>
          <w:bCs/>
          <w:color w:val="000000"/>
          <w:sz w:val="26"/>
          <w:szCs w:val="26"/>
          <w:lang w:val="en-US"/>
        </w:rPr>
        <w:t xml:space="preserve">quy định </w:t>
      </w:r>
      <w:r w:rsidR="003547B3" w:rsidRPr="008E4F38">
        <w:rPr>
          <w:b/>
          <w:bCs/>
          <w:color w:val="000000"/>
          <w:sz w:val="26"/>
          <w:szCs w:val="26"/>
          <w:lang w:val="en-US"/>
        </w:rPr>
        <w:t xml:space="preserve">về </w:t>
      </w:r>
      <w:r w:rsidR="008E4F38">
        <w:rPr>
          <w:b/>
          <w:bCs/>
          <w:color w:val="000000"/>
          <w:sz w:val="26"/>
          <w:szCs w:val="26"/>
          <w:lang w:val="en-US"/>
        </w:rPr>
        <w:t>đấu giá</w:t>
      </w:r>
      <w:r w:rsidR="003547B3" w:rsidRPr="008E4F38">
        <w:rPr>
          <w:b/>
          <w:bCs/>
          <w:color w:val="000000"/>
          <w:sz w:val="26"/>
          <w:szCs w:val="26"/>
          <w:lang w:val="en-US"/>
        </w:rPr>
        <w:t xml:space="preserve"> biển số xe </w:t>
      </w:r>
      <w:r w:rsidR="00AF1BF8" w:rsidRPr="008E4F38">
        <w:rPr>
          <w:b/>
          <w:bCs/>
          <w:color w:val="000000"/>
          <w:sz w:val="26"/>
          <w:szCs w:val="26"/>
          <w:lang w:val="en-US"/>
        </w:rPr>
        <w:t>như thế nào</w:t>
      </w:r>
      <w:r w:rsidRPr="008E4F38">
        <w:rPr>
          <w:rFonts w:ascii="Times New Roman Bold" w:hAnsi="Times New Roman Bold"/>
          <w:b/>
          <w:color w:val="000000"/>
          <w:sz w:val="26"/>
          <w:szCs w:val="26"/>
        </w:rPr>
        <w:t>?</w:t>
      </w:r>
    </w:p>
    <w:p w:rsidR="008E4F38" w:rsidRPr="008E4F38" w:rsidRDefault="009D5287" w:rsidP="008E4F38">
      <w:pPr>
        <w:spacing w:before="60" w:after="60" w:line="336" w:lineRule="auto"/>
        <w:ind w:firstLine="561"/>
        <w:jc w:val="both"/>
        <w:rPr>
          <w:bCs/>
          <w:color w:val="000000"/>
          <w:sz w:val="26"/>
          <w:szCs w:val="26"/>
          <w:lang w:val="en-US"/>
        </w:rPr>
      </w:pPr>
      <w:r w:rsidRPr="008E4F38">
        <w:rPr>
          <w:b/>
          <w:color w:val="000000"/>
          <w:sz w:val="26"/>
          <w:szCs w:val="26"/>
        </w:rPr>
        <w:t xml:space="preserve">Trả lời: </w:t>
      </w:r>
      <w:bookmarkStart w:id="0" w:name="dieu_37"/>
      <w:r w:rsidR="008E4F38" w:rsidRPr="008E4F38">
        <w:rPr>
          <w:bCs/>
          <w:color w:val="000000"/>
          <w:sz w:val="26"/>
          <w:szCs w:val="26"/>
          <w:lang w:val="en-US"/>
        </w:rPr>
        <w:t>Điều 37</w:t>
      </w:r>
      <w:r w:rsidR="008E4F38">
        <w:rPr>
          <w:bCs/>
          <w:color w:val="000000"/>
          <w:sz w:val="26"/>
          <w:szCs w:val="26"/>
          <w:lang w:val="en-US"/>
        </w:rPr>
        <w:t xml:space="preserve"> </w:t>
      </w:r>
      <w:r w:rsidR="008E4F38" w:rsidRPr="008E4F38">
        <w:rPr>
          <w:bCs/>
          <w:color w:val="000000"/>
          <w:sz w:val="26"/>
          <w:szCs w:val="26"/>
          <w:lang w:val="en-US"/>
        </w:rPr>
        <w:t>Luật Trật tự, an toàn giao thông đường bộ</w:t>
      </w:r>
      <w:r w:rsidR="008E4F38">
        <w:rPr>
          <w:bCs/>
          <w:color w:val="000000"/>
          <w:sz w:val="26"/>
          <w:szCs w:val="26"/>
          <w:lang w:val="en-US"/>
        </w:rPr>
        <w:t xml:space="preserve"> quy định về đ</w:t>
      </w:r>
      <w:r w:rsidR="008E4F38" w:rsidRPr="008E4F38">
        <w:rPr>
          <w:bCs/>
          <w:color w:val="000000"/>
          <w:sz w:val="26"/>
          <w:szCs w:val="26"/>
          <w:lang w:val="en-US"/>
        </w:rPr>
        <w:t>ấu giá biển số xe</w:t>
      </w:r>
      <w:bookmarkEnd w:id="0"/>
      <w:r w:rsidR="008E4F38">
        <w:rPr>
          <w:bCs/>
          <w:color w:val="000000"/>
          <w:sz w:val="26"/>
          <w:szCs w:val="26"/>
          <w:lang w:val="en-US"/>
        </w:rPr>
        <w:t xml:space="preserve"> như sau:</w:t>
      </w:r>
    </w:p>
    <w:p w:rsidR="008E4F38" w:rsidRPr="008E4F38" w:rsidRDefault="008E4F38" w:rsidP="008E4F38">
      <w:pPr>
        <w:spacing w:before="60" w:after="60" w:line="336" w:lineRule="auto"/>
        <w:ind w:firstLine="561"/>
        <w:jc w:val="both"/>
        <w:rPr>
          <w:bCs/>
          <w:color w:val="000000"/>
          <w:spacing w:val="2"/>
          <w:sz w:val="26"/>
          <w:szCs w:val="26"/>
          <w:lang w:val="en-US"/>
        </w:rPr>
      </w:pPr>
      <w:r w:rsidRPr="008E4F38">
        <w:rPr>
          <w:b/>
          <w:bCs/>
          <w:color w:val="000000"/>
          <w:spacing w:val="2"/>
          <w:sz w:val="26"/>
          <w:szCs w:val="26"/>
          <w:lang w:val="en-US"/>
        </w:rPr>
        <w:t>1</w:t>
      </w:r>
      <w:r w:rsidRPr="008E4F38">
        <w:rPr>
          <w:bCs/>
          <w:color w:val="000000"/>
          <w:spacing w:val="2"/>
          <w:sz w:val="26"/>
          <w:szCs w:val="26"/>
          <w:lang w:val="en-US"/>
        </w:rPr>
        <w:t xml:space="preserve">. Biển số xe đưa ra đấu giá là biển số xe ô tô, xe mô tô, xe gắn máy được quy định tại </w:t>
      </w:r>
      <w:bookmarkStart w:id="1" w:name="tc_7"/>
      <w:r w:rsidRPr="008E4F38">
        <w:rPr>
          <w:bCs/>
          <w:color w:val="000000"/>
          <w:spacing w:val="2"/>
          <w:sz w:val="26"/>
          <w:szCs w:val="26"/>
          <w:lang w:val="en-US"/>
        </w:rPr>
        <w:t>điểm c và điểm d khoản 2 Điều 36 của Luật này</w:t>
      </w:r>
      <w:bookmarkEnd w:id="1"/>
      <w:r w:rsidRPr="008E4F38">
        <w:rPr>
          <w:bCs/>
          <w:color w:val="000000"/>
          <w:spacing w:val="2"/>
          <w:sz w:val="26"/>
          <w:szCs w:val="26"/>
          <w:lang w:val="en-US"/>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rsidR="008E4F38" w:rsidRPr="008E4F38" w:rsidRDefault="008E4F38" w:rsidP="008E4F38">
      <w:pPr>
        <w:spacing w:before="60" w:after="60" w:line="336" w:lineRule="auto"/>
        <w:ind w:firstLine="561"/>
        <w:jc w:val="both"/>
        <w:rPr>
          <w:bCs/>
          <w:color w:val="000000"/>
          <w:sz w:val="26"/>
          <w:szCs w:val="26"/>
          <w:lang w:val="en-US"/>
        </w:rPr>
      </w:pPr>
      <w:r w:rsidRPr="008E4F38">
        <w:rPr>
          <w:b/>
          <w:bCs/>
          <w:color w:val="000000"/>
          <w:sz w:val="26"/>
          <w:szCs w:val="26"/>
          <w:lang w:val="en-US"/>
        </w:rPr>
        <w:t>2</w:t>
      </w:r>
      <w:r w:rsidRPr="008E4F38">
        <w:rPr>
          <w:bCs/>
          <w:color w:val="000000"/>
          <w:sz w:val="26"/>
          <w:szCs w:val="26"/>
          <w:lang w:val="en-US"/>
        </w:rPr>
        <w:t>. Giá khởi điểm của một biển số xe ô tô đưa ra đấu giá không thấp hơn 40 triệu đồng; giá khởi điểm một biển số xe mô tô, xe gắn máy đưa ra đấu giá không thấp hơn 05 triệu đồng.</w:t>
      </w:r>
    </w:p>
    <w:p w:rsidR="008E4F38" w:rsidRPr="008E4F38" w:rsidRDefault="008E4F38" w:rsidP="008E4F38">
      <w:pPr>
        <w:spacing w:before="60" w:after="60" w:line="336" w:lineRule="auto"/>
        <w:ind w:firstLine="561"/>
        <w:jc w:val="both"/>
        <w:rPr>
          <w:bCs/>
          <w:color w:val="000000"/>
          <w:spacing w:val="4"/>
          <w:sz w:val="26"/>
          <w:szCs w:val="26"/>
          <w:lang w:val="en-US"/>
        </w:rPr>
      </w:pPr>
      <w:r w:rsidRPr="008E4F38">
        <w:rPr>
          <w:b/>
          <w:bCs/>
          <w:color w:val="000000"/>
          <w:spacing w:val="4"/>
          <w:sz w:val="26"/>
          <w:szCs w:val="26"/>
          <w:lang w:val="en-US"/>
        </w:rPr>
        <w:t>3</w:t>
      </w:r>
      <w:r w:rsidRPr="008E4F38">
        <w:rPr>
          <w:bCs/>
          <w:color w:val="000000"/>
          <w:spacing w:val="4"/>
          <w:sz w:val="26"/>
          <w:szCs w:val="26"/>
          <w:lang w:val="en-US"/>
        </w:rPr>
        <w:t>. Tiền đặt trước không thấp hơn giá khởi điểm của loại biển số xe đưa ra đấu giá.</w:t>
      </w:r>
    </w:p>
    <w:p w:rsidR="008E4F38" w:rsidRPr="008E4F38" w:rsidRDefault="008E4F38" w:rsidP="008E4F38">
      <w:pPr>
        <w:spacing w:before="60" w:after="60" w:line="336" w:lineRule="auto"/>
        <w:ind w:firstLine="561"/>
        <w:jc w:val="both"/>
        <w:rPr>
          <w:bCs/>
          <w:color w:val="000000"/>
          <w:sz w:val="26"/>
          <w:szCs w:val="26"/>
          <w:lang w:val="en-US"/>
        </w:rPr>
      </w:pPr>
      <w:r w:rsidRPr="008E4F38">
        <w:rPr>
          <w:b/>
          <w:bCs/>
          <w:color w:val="000000"/>
          <w:sz w:val="26"/>
          <w:szCs w:val="26"/>
          <w:lang w:val="en-US"/>
        </w:rPr>
        <w:lastRenderedPageBreak/>
        <w:t>4</w:t>
      </w:r>
      <w:r w:rsidRPr="008E4F38">
        <w:rPr>
          <w:bCs/>
          <w:color w:val="000000"/>
          <w:sz w:val="26"/>
          <w:szCs w:val="26"/>
          <w:lang w:val="en-US"/>
        </w:rPr>
        <w:t>.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rsidR="008E4F38" w:rsidRPr="008E4F38" w:rsidRDefault="008E4F38" w:rsidP="008E4F38">
      <w:pPr>
        <w:spacing w:before="60" w:after="60" w:line="336" w:lineRule="auto"/>
        <w:ind w:firstLine="561"/>
        <w:jc w:val="both"/>
        <w:rPr>
          <w:bCs/>
          <w:color w:val="000000"/>
          <w:sz w:val="26"/>
          <w:szCs w:val="26"/>
          <w:lang w:val="en-US"/>
        </w:rPr>
      </w:pPr>
      <w:r w:rsidRPr="008E4F38">
        <w:rPr>
          <w:b/>
          <w:bCs/>
          <w:color w:val="000000"/>
          <w:sz w:val="26"/>
          <w:szCs w:val="26"/>
          <w:lang w:val="en-US"/>
        </w:rPr>
        <w:t>5</w:t>
      </w:r>
      <w:r w:rsidRPr="008E4F38">
        <w:rPr>
          <w:bCs/>
          <w:color w:val="000000"/>
          <w:sz w:val="26"/>
          <w:szCs w:val="26"/>
          <w:lang w:val="en-US"/>
        </w:rPr>
        <w:t xml:space="preserve">. Đăng ký xe và biển số xe trúng đấu giá sau khi chuyển nhượng, trao đổi, tặng cho, để thừa kế xe gắn biển số xe trúng đấu giá được quản lý, cấp, thu hồi theo quy định tại </w:t>
      </w:r>
      <w:bookmarkStart w:id="2" w:name="tc_8"/>
      <w:r w:rsidRPr="008E4F38">
        <w:rPr>
          <w:bCs/>
          <w:color w:val="000000"/>
          <w:sz w:val="26"/>
          <w:szCs w:val="26"/>
          <w:lang w:val="en-US"/>
        </w:rPr>
        <w:t>Điều 39 của Luật này</w:t>
      </w:r>
      <w:bookmarkEnd w:id="2"/>
      <w:r w:rsidRPr="008E4F38">
        <w:rPr>
          <w:bCs/>
          <w:color w:val="000000"/>
          <w:sz w:val="26"/>
          <w:szCs w:val="26"/>
          <w:lang w:val="en-US"/>
        </w:rPr>
        <w:t>.</w:t>
      </w:r>
    </w:p>
    <w:p w:rsidR="008E4F38" w:rsidRPr="008E4F38" w:rsidRDefault="008E4F38" w:rsidP="008E4F38">
      <w:pPr>
        <w:spacing w:before="60" w:after="60" w:line="336" w:lineRule="auto"/>
        <w:ind w:firstLine="561"/>
        <w:jc w:val="both"/>
        <w:rPr>
          <w:bCs/>
          <w:color w:val="000000"/>
          <w:sz w:val="26"/>
          <w:szCs w:val="26"/>
          <w:lang w:val="en-US"/>
        </w:rPr>
      </w:pPr>
      <w:r w:rsidRPr="008E4F38">
        <w:rPr>
          <w:b/>
          <w:bCs/>
          <w:color w:val="000000"/>
          <w:sz w:val="26"/>
          <w:szCs w:val="26"/>
          <w:lang w:val="en-US"/>
        </w:rPr>
        <w:t>6</w:t>
      </w:r>
      <w:r w:rsidRPr="008E4F38">
        <w:rPr>
          <w:bCs/>
          <w:color w:val="000000"/>
          <w:sz w:val="26"/>
          <w:szCs w:val="26"/>
          <w:lang w:val="en-US"/>
        </w:rPr>
        <w:t>.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rsidR="008E4F38" w:rsidRPr="008E4F38" w:rsidRDefault="008E4F38" w:rsidP="008E4F38">
      <w:pPr>
        <w:spacing w:before="60" w:after="60" w:line="336" w:lineRule="auto"/>
        <w:ind w:firstLine="561"/>
        <w:jc w:val="both"/>
        <w:rPr>
          <w:bCs/>
          <w:color w:val="000000"/>
          <w:sz w:val="26"/>
          <w:szCs w:val="26"/>
          <w:lang w:val="en-US"/>
        </w:rPr>
      </w:pPr>
      <w:bookmarkStart w:id="3" w:name="khoan_7_37"/>
      <w:r w:rsidRPr="008E4F38">
        <w:rPr>
          <w:b/>
          <w:bCs/>
          <w:color w:val="000000"/>
          <w:sz w:val="26"/>
          <w:szCs w:val="26"/>
          <w:lang w:val="en-US"/>
        </w:rPr>
        <w:t>7</w:t>
      </w:r>
      <w:r w:rsidRPr="008E4F38">
        <w:rPr>
          <w:bCs/>
          <w:color w:val="000000"/>
          <w:sz w:val="26"/>
          <w:szCs w:val="26"/>
          <w:lang w:val="en-US"/>
        </w:rPr>
        <w:t>. Chính phủ quy định chi tiết Điều này; quy định bước giá, hình thức, phương thức, trình tự, thủ tục đấu giá biển số xe.</w:t>
      </w:r>
      <w:bookmarkEnd w:id="3"/>
    </w:p>
    <w:p w:rsidR="008E4F38" w:rsidRDefault="008E4F38" w:rsidP="008E4F38">
      <w:pPr>
        <w:spacing w:before="60" w:after="60" w:line="324" w:lineRule="auto"/>
        <w:ind w:firstLine="561"/>
        <w:jc w:val="both"/>
        <w:rPr>
          <w:b/>
          <w:bCs/>
          <w:color w:val="000000"/>
          <w:sz w:val="26"/>
          <w:szCs w:val="26"/>
          <w:lang w:val="en-US"/>
        </w:rPr>
      </w:pPr>
      <w:bookmarkStart w:id="4" w:name="dieu_38"/>
      <w:r w:rsidRPr="008E4F38">
        <w:rPr>
          <w:rFonts w:ascii="Times New Roman Bold" w:hAnsi="Times New Roman Bold"/>
          <w:b/>
          <w:color w:val="000000"/>
          <w:sz w:val="26"/>
          <w:szCs w:val="26"/>
        </w:rPr>
        <w:lastRenderedPageBreak/>
        <w:t>Câu hỏi:</w:t>
      </w:r>
      <w:r w:rsidRPr="008E4F38">
        <w:rPr>
          <w:rFonts w:asciiTheme="minorHAnsi" w:hAnsiTheme="minorHAnsi"/>
          <w:b/>
          <w:color w:val="000000"/>
          <w:sz w:val="26"/>
          <w:szCs w:val="26"/>
          <w:lang w:val="en-US"/>
        </w:rPr>
        <w:t xml:space="preserve"> </w:t>
      </w:r>
      <w:r>
        <w:rPr>
          <w:b/>
          <w:bCs/>
          <w:color w:val="000000"/>
          <w:sz w:val="26"/>
          <w:szCs w:val="26"/>
          <w:lang w:val="en-US"/>
        </w:rPr>
        <w:t>N</w:t>
      </w:r>
      <w:r w:rsidRPr="008E4F38">
        <w:rPr>
          <w:b/>
          <w:bCs/>
          <w:color w:val="000000"/>
          <w:sz w:val="26"/>
          <w:szCs w:val="26"/>
          <w:lang w:val="en-US"/>
        </w:rPr>
        <w:t>gười trúng đấu giá biển số xe</w:t>
      </w:r>
      <w:r>
        <w:rPr>
          <w:b/>
          <w:bCs/>
          <w:color w:val="000000"/>
          <w:sz w:val="26"/>
          <w:szCs w:val="26"/>
          <w:lang w:val="en-US"/>
        </w:rPr>
        <w:t xml:space="preserve"> có quyền và nghĩa vụ gì?</w:t>
      </w:r>
    </w:p>
    <w:p w:rsidR="008E4F38" w:rsidRPr="008E4F38" w:rsidRDefault="008E4F38" w:rsidP="008E4F38">
      <w:pPr>
        <w:spacing w:before="60" w:after="60" w:line="324" w:lineRule="auto"/>
        <w:ind w:firstLine="561"/>
        <w:jc w:val="both"/>
        <w:rPr>
          <w:bCs/>
          <w:color w:val="000000"/>
          <w:sz w:val="26"/>
          <w:szCs w:val="26"/>
          <w:lang w:val="en-US"/>
        </w:rPr>
      </w:pPr>
      <w:r>
        <w:rPr>
          <w:b/>
          <w:bCs/>
          <w:color w:val="000000"/>
          <w:sz w:val="26"/>
          <w:szCs w:val="26"/>
          <w:lang w:val="en-US"/>
        </w:rPr>
        <w:t xml:space="preserve">Trả lời: </w:t>
      </w:r>
      <w:r w:rsidRPr="008E4F38">
        <w:rPr>
          <w:bCs/>
          <w:color w:val="000000"/>
          <w:sz w:val="26"/>
          <w:szCs w:val="26"/>
          <w:lang w:val="en-US"/>
        </w:rPr>
        <w:t>Điều 38</w:t>
      </w:r>
      <w:r>
        <w:rPr>
          <w:bCs/>
          <w:color w:val="000000"/>
          <w:sz w:val="26"/>
          <w:szCs w:val="26"/>
          <w:lang w:val="en-US"/>
        </w:rPr>
        <w:t xml:space="preserve"> </w:t>
      </w:r>
      <w:r w:rsidRPr="008E4F38">
        <w:rPr>
          <w:bCs/>
          <w:color w:val="000000"/>
          <w:sz w:val="26"/>
          <w:szCs w:val="26"/>
          <w:lang w:val="en-US"/>
        </w:rPr>
        <w:t>Luật Trật tự, an toàn giao thông đường bộ</w:t>
      </w:r>
      <w:r>
        <w:rPr>
          <w:bCs/>
          <w:color w:val="000000"/>
          <w:sz w:val="26"/>
          <w:szCs w:val="26"/>
          <w:lang w:val="en-US"/>
        </w:rPr>
        <w:t xml:space="preserve"> quy định về</w:t>
      </w:r>
      <w:r>
        <w:rPr>
          <w:bCs/>
          <w:color w:val="000000"/>
          <w:sz w:val="26"/>
          <w:szCs w:val="26"/>
          <w:lang w:val="en-US"/>
        </w:rPr>
        <w:t xml:space="preserve"> q</w:t>
      </w:r>
      <w:r w:rsidRPr="008E4F38">
        <w:rPr>
          <w:bCs/>
          <w:color w:val="000000"/>
          <w:sz w:val="26"/>
          <w:szCs w:val="26"/>
          <w:lang w:val="en-US"/>
        </w:rPr>
        <w:t>uyền và nghĩa vụ của người trúng đấu giá biển số xe</w:t>
      </w:r>
      <w:bookmarkEnd w:id="4"/>
      <w:r>
        <w:rPr>
          <w:bCs/>
          <w:color w:val="000000"/>
          <w:sz w:val="26"/>
          <w:szCs w:val="26"/>
          <w:lang w:val="en-US"/>
        </w:rPr>
        <w:t xml:space="preserve"> như sau:</w:t>
      </w:r>
    </w:p>
    <w:p w:rsidR="008E4F38" w:rsidRPr="008E4F38" w:rsidRDefault="008E4F38" w:rsidP="008E4F38">
      <w:pPr>
        <w:spacing w:before="60" w:after="60" w:line="324" w:lineRule="auto"/>
        <w:ind w:firstLine="561"/>
        <w:jc w:val="both"/>
        <w:rPr>
          <w:b/>
          <w:bCs/>
          <w:i/>
          <w:color w:val="000000"/>
          <w:sz w:val="26"/>
          <w:szCs w:val="26"/>
          <w:lang w:val="en-US"/>
        </w:rPr>
      </w:pPr>
      <w:r w:rsidRPr="008E4F38">
        <w:rPr>
          <w:b/>
          <w:bCs/>
          <w:i/>
          <w:color w:val="000000"/>
          <w:sz w:val="26"/>
          <w:szCs w:val="26"/>
          <w:lang w:val="en-US"/>
        </w:rPr>
        <w:t xml:space="preserve">1. Người trúng đấu giá biển số xe có quyền sau đây: </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a) Được cấp quyết định xác nhận biển số xe trúng đấu giá sau khi nộp đủ số tiền trúng đấu giá;</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 xml:space="preserve">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 </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c) Được chuyển nhượng, trao đổi, tặng cho, để thừa kế xe gắn với biển số xe trúng đấu giá;</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 xml:space="preserve">d) Trong thời hạn 30 ngày kể từ ngày có thông báo kết quả trúng đấu giá mà chưa được cấp quyết định xác nhận biển số xe trúng đấu giá, nếu người trúng đấu giá </w:t>
      </w:r>
      <w:r w:rsidRPr="008E4F38">
        <w:rPr>
          <w:bCs/>
          <w:color w:val="000000"/>
          <w:sz w:val="26"/>
          <w:szCs w:val="26"/>
          <w:lang w:val="en-US"/>
        </w:rPr>
        <w:lastRenderedPageBreak/>
        <w:t>chết thì kết quả trúng đấu giá sẽ bị hủy, người thừa kế theo quy định của pháp luật về thừa kế được nhận đủ số tiền trúng đấu giá mà người trúng đấu giá đã nộp;</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rsidR="008E4F38" w:rsidRPr="008E4F38" w:rsidRDefault="008E4F38" w:rsidP="008E4F38">
      <w:pPr>
        <w:spacing w:before="60" w:after="60" w:line="324" w:lineRule="auto"/>
        <w:ind w:firstLine="561"/>
        <w:jc w:val="both"/>
        <w:rPr>
          <w:b/>
          <w:bCs/>
          <w:i/>
          <w:color w:val="000000"/>
          <w:sz w:val="26"/>
          <w:szCs w:val="26"/>
          <w:lang w:val="en-US"/>
        </w:rPr>
      </w:pPr>
      <w:r w:rsidRPr="008E4F38">
        <w:rPr>
          <w:b/>
          <w:bCs/>
          <w:i/>
          <w:color w:val="000000"/>
          <w:sz w:val="26"/>
          <w:szCs w:val="26"/>
          <w:lang w:val="en-US"/>
        </w:rPr>
        <w:t>2. Người trúng đấu giá biển số xe có nghĩa vụ sau đây:</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 xml:space="preserve">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w:t>
      </w:r>
      <w:r w:rsidRPr="008E4F38">
        <w:rPr>
          <w:bCs/>
          <w:color w:val="000000"/>
          <w:sz w:val="26"/>
          <w:szCs w:val="26"/>
          <w:lang w:val="en-US"/>
        </w:rPr>
        <w:lastRenderedPageBreak/>
        <w:t>đặt trước, số tiền đã nộp, không được tham gia đấu giá biển số xe trong thời hạn 12 tháng kể từ ngày có thông báo kết quả trúng đấu giá;</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p>
    <w:p w:rsidR="008E4F38" w:rsidRPr="008E4F38" w:rsidRDefault="008E4F38" w:rsidP="008E4F38">
      <w:pPr>
        <w:spacing w:before="60" w:after="60" w:line="324" w:lineRule="auto"/>
        <w:ind w:firstLine="561"/>
        <w:jc w:val="both"/>
        <w:rPr>
          <w:bCs/>
          <w:color w:val="000000"/>
          <w:sz w:val="26"/>
          <w:szCs w:val="26"/>
          <w:lang w:val="en-US"/>
        </w:rPr>
      </w:pPr>
      <w:r w:rsidRPr="008E4F38">
        <w:rPr>
          <w:bCs/>
          <w:color w:val="000000"/>
          <w:sz w:val="26"/>
          <w:szCs w:val="26"/>
          <w:lang w:val="en-US"/>
        </w:rPr>
        <w:t>c) Không được chuyển nhượng, trao đổi, tặng cho, để thừa kế biển số xe trúng đấu giá, trừ trường hợp quy định tại điểm c khoản 1 Điều này.</w:t>
      </w:r>
    </w:p>
    <w:p w:rsidR="008E4F38" w:rsidRPr="008E4F38" w:rsidRDefault="008E4F38" w:rsidP="008E4F38">
      <w:pPr>
        <w:spacing w:before="60" w:after="60" w:line="324" w:lineRule="auto"/>
        <w:ind w:firstLine="561"/>
        <w:jc w:val="both"/>
        <w:rPr>
          <w:bCs/>
          <w:color w:val="000000"/>
          <w:spacing w:val="-10"/>
          <w:sz w:val="26"/>
          <w:szCs w:val="26"/>
          <w:lang w:val="en-US"/>
        </w:rPr>
      </w:pPr>
      <w:r w:rsidRPr="008E4F38">
        <w:rPr>
          <w:bCs/>
          <w:color w:val="000000"/>
          <w:spacing w:val="-10"/>
          <w:sz w:val="26"/>
          <w:szCs w:val="26"/>
          <w:lang w:val="en-US"/>
        </w:rPr>
        <w:t>3. Chính phủ quy định chi tiết Điều này./.</w:t>
      </w:r>
    </w:p>
    <w:p w:rsidR="003547B3" w:rsidRDefault="003547B3" w:rsidP="008E4F38">
      <w:pPr>
        <w:spacing w:before="120" w:after="120" w:line="360" w:lineRule="auto"/>
        <w:ind w:firstLine="561"/>
        <w:jc w:val="both"/>
        <w:rPr>
          <w:bCs/>
          <w:color w:val="000000"/>
          <w:lang w:val="pt-BR"/>
        </w:rPr>
      </w:pPr>
      <w:bookmarkStart w:id="5" w:name="_GoBack"/>
      <w:bookmarkEnd w:id="5"/>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g">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965200</wp:posOffset>
                </wp:positionH>
                <wp:positionV relativeFrom="paragraph">
                  <wp:posOffset>25400</wp:posOffset>
                </wp:positionV>
                <wp:extent cx="914400" cy="127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14400" cy="12700"/>
                        </a:xfrm>
                        <a:prstGeom prst="rect"/>
                        <a:ln/>
                      </pic:spPr>
                    </pic:pic>
                  </a:graphicData>
                </a:graphic>
              </wp:anchor>
            </w:drawing>
          </mc:Fallback>
        </mc:AlternateContent>
      </w:r>
    </w:p>
    <w:p w:rsidR="00753682" w:rsidRDefault="00753682">
      <w:pPr>
        <w:spacing w:before="80"/>
        <w:jc w:val="center"/>
        <w:rPr>
          <w:sz w:val="24"/>
          <w:szCs w:val="24"/>
          <w:lang w:val="en-US"/>
        </w:rPr>
      </w:pPr>
    </w:p>
    <w:p w:rsidR="00AF1BF8" w:rsidRDefault="00AF1BF8">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CA5D52" w:rsidRPr="00002B88" w:rsidRDefault="008E4F38" w:rsidP="008E4F38">
            <w:pPr>
              <w:tabs>
                <w:tab w:val="left" w:pos="4392"/>
              </w:tabs>
              <w:ind w:right="-108"/>
              <w:jc w:val="center"/>
              <w:rPr>
                <w:rFonts w:ascii="Times New Roman Bold" w:hAnsi="Times New Roman Bold"/>
                <w:spacing w:val="-6"/>
                <w:sz w:val="26"/>
                <w:szCs w:val="26"/>
                <w:lang w:val="en-US"/>
              </w:rPr>
            </w:pPr>
            <w:r>
              <w:rPr>
                <w:rFonts w:ascii="Times New Roman Bold" w:hAnsi="Times New Roman Bold"/>
                <w:b/>
                <w:spacing w:val="-6"/>
                <w:sz w:val="26"/>
                <w:szCs w:val="26"/>
                <w:lang w:val="en-US"/>
              </w:rPr>
              <w:t xml:space="preserve">ĐẤU GIÁ </w:t>
            </w:r>
            <w:r w:rsidR="003547B3">
              <w:rPr>
                <w:rFonts w:ascii="Times New Roman Bold" w:hAnsi="Times New Roman Bold"/>
                <w:b/>
                <w:bCs/>
                <w:color w:val="000000"/>
                <w:spacing w:val="4"/>
                <w:sz w:val="26"/>
                <w:szCs w:val="26"/>
                <w:lang w:val="en-US"/>
              </w:rPr>
              <w:t>BIỂN SỐ XE</w:t>
            </w:r>
            <w:r>
              <w:rPr>
                <w:rFonts w:ascii="Times New Roman Bold" w:hAnsi="Times New Roman Bold"/>
                <w:b/>
                <w:bCs/>
                <w:color w:val="000000"/>
                <w:spacing w:val="4"/>
                <w:sz w:val="26"/>
                <w:szCs w:val="26"/>
                <w:lang w:val="en-US"/>
              </w:rPr>
              <w:t>; QUYỀN VÀ NGHĨA VỤ CỦA NGƯỜI TRÚNG ĐẤU GIÁ BIỂN SỐ XE</w:t>
            </w:r>
          </w:p>
        </w:tc>
      </w:tr>
    </w:tbl>
    <w:p w:rsidR="00753682" w:rsidRPr="00A75B75" w:rsidRDefault="00753682">
      <w:pPr>
        <w:spacing w:before="80"/>
        <w:ind w:firstLine="567"/>
        <w:jc w:val="both"/>
        <w:rPr>
          <w:sz w:val="24"/>
          <w:szCs w:val="24"/>
          <w:lang w:val="en-US"/>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2133600" cy="25336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36525" cy="2537123"/>
                    </a:xfrm>
                    <a:prstGeom prst="rect">
                      <a:avLst/>
                    </a:prstGeom>
                    <a:ln/>
                  </pic:spPr>
                </pic:pic>
              </a:graphicData>
            </a:graphic>
          </wp:inline>
        </w:drawing>
      </w:r>
    </w:p>
    <w:p w:rsidR="00002B88" w:rsidRDefault="00002B88">
      <w:pPr>
        <w:spacing w:before="80"/>
        <w:jc w:val="center"/>
        <w:rPr>
          <w:b/>
          <w:sz w:val="24"/>
          <w:szCs w:val="24"/>
          <w:lang w:val="en-US"/>
        </w:rPr>
      </w:pPr>
    </w:p>
    <w:p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53682"/>
    <w:rsid w:val="00002B88"/>
    <w:rsid w:val="00003956"/>
    <w:rsid w:val="00013067"/>
    <w:rsid w:val="0010179B"/>
    <w:rsid w:val="00174D56"/>
    <w:rsid w:val="001A18EB"/>
    <w:rsid w:val="001C06AC"/>
    <w:rsid w:val="001C10C3"/>
    <w:rsid w:val="00204DCF"/>
    <w:rsid w:val="002827C0"/>
    <w:rsid w:val="002834B4"/>
    <w:rsid w:val="0029410B"/>
    <w:rsid w:val="0031418A"/>
    <w:rsid w:val="003225B8"/>
    <w:rsid w:val="003547B3"/>
    <w:rsid w:val="00376291"/>
    <w:rsid w:val="00385487"/>
    <w:rsid w:val="00387B60"/>
    <w:rsid w:val="003A3F14"/>
    <w:rsid w:val="00423B92"/>
    <w:rsid w:val="00455F0B"/>
    <w:rsid w:val="004E3703"/>
    <w:rsid w:val="005A0C86"/>
    <w:rsid w:val="005D7106"/>
    <w:rsid w:val="00676D92"/>
    <w:rsid w:val="006A7C83"/>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C660FE"/>
    <w:rsid w:val="00CA5D52"/>
    <w:rsid w:val="00CB04A6"/>
    <w:rsid w:val="00D02455"/>
    <w:rsid w:val="00D536DF"/>
    <w:rsid w:val="00DE4C47"/>
    <w:rsid w:val="00E0417D"/>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3</cp:revision>
  <dcterms:created xsi:type="dcterms:W3CDTF">2024-11-27T14:00:00Z</dcterms:created>
  <dcterms:modified xsi:type="dcterms:W3CDTF">2024-11-27T15:27:00Z</dcterms:modified>
</cp:coreProperties>
</file>