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2" w:rsidRDefault="008779C9" w:rsidP="008779C9">
      <w:pPr>
        <w:spacing w:before="60" w:after="60" w:line="312" w:lineRule="auto"/>
        <w:ind w:firstLine="561"/>
        <w:jc w:val="both"/>
        <w:rPr>
          <w:b/>
          <w:color w:val="000000"/>
          <w:sz w:val="26"/>
          <w:szCs w:val="26"/>
        </w:rPr>
      </w:pPr>
      <w:bookmarkStart w:id="0" w:name="gjdgxs" w:colFirst="0" w:colLast="0"/>
      <w:bookmarkEnd w:id="0"/>
      <w:r>
        <w:rPr>
          <w:b/>
          <w:color w:val="000000"/>
          <w:sz w:val="26"/>
          <w:szCs w:val="26"/>
        </w:rPr>
        <w:t xml:space="preserve">Câu hỏi: </w:t>
      </w:r>
      <w:r w:rsidR="005D7106" w:rsidRPr="005D7106">
        <w:rPr>
          <w:b/>
          <w:bCs/>
          <w:sz w:val="26"/>
          <w:szCs w:val="26"/>
          <w:lang w:val="en-US"/>
        </w:rPr>
        <w:t>Nguyên tắc bảo đảm trật tự, an toàn giao thông đường bộ</w:t>
      </w:r>
      <w:r w:rsidR="005D7106">
        <w:rPr>
          <w:b/>
          <w:bCs/>
          <w:sz w:val="26"/>
          <w:szCs w:val="26"/>
          <w:lang w:val="en-US"/>
        </w:rPr>
        <w:t xml:space="preserve"> là gì</w:t>
      </w:r>
      <w:r>
        <w:rPr>
          <w:b/>
          <w:color w:val="000000"/>
          <w:sz w:val="26"/>
          <w:szCs w:val="26"/>
        </w:rPr>
        <w:t>?</w:t>
      </w:r>
    </w:p>
    <w:p w:rsidR="005D7106" w:rsidRPr="008779C9" w:rsidRDefault="008779C9" w:rsidP="008779C9">
      <w:pPr>
        <w:spacing w:before="60" w:after="60" w:line="312" w:lineRule="auto"/>
        <w:ind w:firstLine="561"/>
        <w:jc w:val="both"/>
        <w:rPr>
          <w:spacing w:val="-8"/>
          <w:sz w:val="26"/>
          <w:szCs w:val="26"/>
          <w:lang w:val="en-US"/>
        </w:rPr>
      </w:pPr>
      <w:r w:rsidRPr="008779C9">
        <w:rPr>
          <w:b/>
          <w:color w:val="000000"/>
          <w:spacing w:val="-8"/>
          <w:sz w:val="26"/>
          <w:szCs w:val="26"/>
        </w:rPr>
        <w:t xml:space="preserve">Trả lời: </w:t>
      </w:r>
      <w:bookmarkStart w:id="1" w:name="dieu_3"/>
      <w:r w:rsidRPr="008779C9">
        <w:rPr>
          <w:color w:val="000000"/>
          <w:spacing w:val="-8"/>
          <w:sz w:val="26"/>
          <w:szCs w:val="26"/>
          <w:lang w:val="en-US"/>
        </w:rPr>
        <w:t xml:space="preserve">Theo </w:t>
      </w:r>
      <w:r w:rsidR="005D7106" w:rsidRPr="008779C9">
        <w:rPr>
          <w:bCs/>
          <w:spacing w:val="-8"/>
          <w:sz w:val="26"/>
          <w:szCs w:val="26"/>
          <w:lang w:val="en-US"/>
        </w:rPr>
        <w:t>Điều 3 Luật Trật tự, an toàn giao thông đường bộ</w:t>
      </w:r>
      <w:r w:rsidRPr="008779C9">
        <w:rPr>
          <w:bCs/>
          <w:spacing w:val="-8"/>
          <w:sz w:val="26"/>
          <w:szCs w:val="26"/>
          <w:lang w:val="en-US"/>
        </w:rPr>
        <w:t>, n</w:t>
      </w:r>
      <w:r w:rsidR="005D7106" w:rsidRPr="008779C9">
        <w:rPr>
          <w:bCs/>
          <w:spacing w:val="-8"/>
          <w:sz w:val="26"/>
          <w:szCs w:val="26"/>
          <w:lang w:val="en-US"/>
        </w:rPr>
        <w:t>guyên tắc bảo đảm trật tự, an toàn giao thông đường bộ</w:t>
      </w:r>
      <w:bookmarkEnd w:id="1"/>
      <w:r w:rsidRPr="008779C9">
        <w:rPr>
          <w:bCs/>
          <w:spacing w:val="-8"/>
          <w:sz w:val="26"/>
          <w:szCs w:val="26"/>
          <w:lang w:val="en-US"/>
        </w:rPr>
        <w:t xml:space="preserve"> gồm:</w:t>
      </w:r>
    </w:p>
    <w:p w:rsidR="005D7106" w:rsidRPr="008779C9" w:rsidRDefault="005D7106" w:rsidP="008779C9">
      <w:pPr>
        <w:spacing w:before="60" w:after="60" w:line="312" w:lineRule="auto"/>
        <w:ind w:firstLine="561"/>
        <w:jc w:val="both"/>
        <w:rPr>
          <w:spacing w:val="-6"/>
          <w:sz w:val="26"/>
          <w:szCs w:val="26"/>
          <w:lang w:val="en-US"/>
        </w:rPr>
      </w:pPr>
      <w:r w:rsidRPr="008779C9">
        <w:rPr>
          <w:spacing w:val="-6"/>
          <w:sz w:val="26"/>
          <w:szCs w:val="26"/>
          <w:lang w:val="en-US"/>
        </w:rPr>
        <w:t xml:space="preserve">1. Tuân thủ </w:t>
      </w:r>
      <w:bookmarkStart w:id="2" w:name="tvpllink_khhhnejlqt_1"/>
      <w:r w:rsidRPr="008779C9">
        <w:rPr>
          <w:spacing w:val="-6"/>
          <w:sz w:val="26"/>
          <w:szCs w:val="26"/>
          <w:lang w:val="en-US"/>
        </w:rPr>
        <w:t>Hiến pháp</w:t>
      </w:r>
      <w:bookmarkEnd w:id="2"/>
      <w:r w:rsidRPr="008779C9">
        <w:rPr>
          <w:spacing w:val="-6"/>
          <w:sz w:val="26"/>
          <w:szCs w:val="26"/>
          <w:lang w:val="en-US"/>
        </w:rPr>
        <w:t xml:space="preserve">, pháp luật Việt Nam và điều ước quốc tế mà nước Cộng hòa xã hội chủ nghĩa Việt Nam là thành viên. </w:t>
      </w:r>
    </w:p>
    <w:p w:rsidR="005D7106" w:rsidRPr="005D7106" w:rsidRDefault="005D7106" w:rsidP="008779C9">
      <w:pPr>
        <w:spacing w:before="60" w:after="60" w:line="312" w:lineRule="auto"/>
        <w:ind w:firstLine="561"/>
        <w:jc w:val="both"/>
        <w:rPr>
          <w:sz w:val="26"/>
          <w:szCs w:val="26"/>
          <w:lang w:val="en-US"/>
        </w:rPr>
      </w:pPr>
      <w:r w:rsidRPr="005D7106">
        <w:rPr>
          <w:sz w:val="26"/>
          <w:szCs w:val="26"/>
          <w:lang w:val="en-US"/>
        </w:rPr>
        <w:t>2. Bảo đảm 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thông; bảo vệ tính mạng, sức khỏe, tài sản của cá nhân và tài sản của cơ quan, tổ chức.</w:t>
      </w:r>
    </w:p>
    <w:p w:rsidR="005D7106" w:rsidRPr="005D7106" w:rsidRDefault="005D7106" w:rsidP="008779C9">
      <w:pPr>
        <w:spacing w:before="60" w:after="60" w:line="312" w:lineRule="auto"/>
        <w:ind w:firstLine="561"/>
        <w:jc w:val="both"/>
        <w:rPr>
          <w:sz w:val="26"/>
          <w:szCs w:val="26"/>
          <w:lang w:val="en-US"/>
        </w:rPr>
      </w:pPr>
      <w:r w:rsidRPr="005D7106">
        <w:rPr>
          <w:sz w:val="26"/>
          <w:szCs w:val="26"/>
          <w:lang w:val="en-US"/>
        </w:rPr>
        <w:t>3. Bảo đảm trật tự, an toàn giao thông đường bộ là trách nhiệm của cơ quan, tổ chức, cá nhân.</w:t>
      </w:r>
    </w:p>
    <w:p w:rsidR="005D7106" w:rsidRPr="005D7106" w:rsidRDefault="005D7106" w:rsidP="008779C9">
      <w:pPr>
        <w:spacing w:before="60" w:after="60" w:line="312" w:lineRule="auto"/>
        <w:ind w:firstLine="561"/>
        <w:jc w:val="both"/>
        <w:rPr>
          <w:sz w:val="26"/>
          <w:szCs w:val="26"/>
          <w:lang w:val="en-US"/>
        </w:rPr>
      </w:pPr>
      <w:r w:rsidRPr="005D7106">
        <w:rPr>
          <w:sz w:val="26"/>
          <w:szCs w:val="26"/>
          <w:lang w:val="en-US"/>
        </w:rPr>
        <w:t xml:space="preserve">4. Người tham gia giao thông đường bộ phải chấp hành các quy định của pháp luật về trật tự, an toàn giao thông đường bộ và quy định khác của pháp luật có liên </w:t>
      </w:r>
      <w:r w:rsidRPr="005D7106">
        <w:rPr>
          <w:sz w:val="26"/>
          <w:szCs w:val="26"/>
          <w:lang w:val="en-US"/>
        </w:rPr>
        <w:lastRenderedPageBreak/>
        <w:t>quan, có trách nhiệm giữ an toàn cho mình và cho người khác.</w:t>
      </w:r>
    </w:p>
    <w:p w:rsidR="005D7106" w:rsidRPr="008779C9" w:rsidRDefault="005D7106" w:rsidP="008779C9">
      <w:pPr>
        <w:spacing w:before="60" w:after="60" w:line="312" w:lineRule="auto"/>
        <w:ind w:firstLine="561"/>
        <w:jc w:val="both"/>
        <w:rPr>
          <w:spacing w:val="-8"/>
          <w:sz w:val="26"/>
          <w:szCs w:val="26"/>
          <w:lang w:val="en-US"/>
        </w:rPr>
      </w:pPr>
      <w:r w:rsidRPr="008779C9">
        <w:rPr>
          <w:spacing w:val="-8"/>
          <w:sz w:val="26"/>
          <w:szCs w:val="26"/>
          <w:lang w:val="en-US"/>
        </w:rPr>
        <w:t>5. Mọi hành vi vi phạm pháp luật về trật tự, an toàn giao thông đường bộ phải được phát hiện, ngăn chặn kịp thời và phải bị xử lý nghiêm minh theo quy định của pháp luật.</w:t>
      </w:r>
    </w:p>
    <w:p w:rsidR="005D7106" w:rsidRPr="005D7106" w:rsidRDefault="005D7106" w:rsidP="008779C9">
      <w:pPr>
        <w:spacing w:before="60" w:after="60" w:line="312" w:lineRule="auto"/>
        <w:ind w:firstLine="561"/>
        <w:jc w:val="both"/>
        <w:rPr>
          <w:sz w:val="26"/>
          <w:szCs w:val="26"/>
          <w:lang w:val="en-US"/>
        </w:rPr>
      </w:pPr>
      <w:r w:rsidRPr="005D7106">
        <w:rPr>
          <w:sz w:val="26"/>
          <w:szCs w:val="26"/>
          <w:lang w:val="en-US"/>
        </w:rPr>
        <w:t>6. Hoạt động bảo đảm trật tự, an toàn giao thông đường bộ phải công khai, minh bạch và thuận lợi cho người dân.</w:t>
      </w:r>
    </w:p>
    <w:p w:rsidR="005D7106" w:rsidRPr="005D7106" w:rsidRDefault="005D7106" w:rsidP="008779C9">
      <w:pPr>
        <w:spacing w:before="60" w:after="60" w:line="312" w:lineRule="auto"/>
        <w:ind w:firstLine="561"/>
        <w:jc w:val="both"/>
        <w:rPr>
          <w:sz w:val="26"/>
          <w:szCs w:val="26"/>
          <w:lang w:val="en-US"/>
        </w:rPr>
      </w:pPr>
      <w:r w:rsidRPr="005D7106">
        <w:rPr>
          <w:sz w:val="26"/>
          <w:szCs w:val="26"/>
          <w:lang w:val="en-US"/>
        </w:rPr>
        <w:t xml:space="preserve">7. Công tác bảo đảm trật tự, an toàn giao thông đường bộ được thực hiện thống nhất trên cơ sở phân công, phân cấp, phù hợp với chức năng, nhiệm vụ và sự phối hợp chặt chẽ giữa các cơ quan, tổ chức, cá nhân có liên quan. </w:t>
      </w:r>
    </w:p>
    <w:p w:rsidR="00753682" w:rsidRDefault="008779C9" w:rsidP="008779C9">
      <w:pPr>
        <w:spacing w:before="60" w:after="60" w:line="360" w:lineRule="auto"/>
        <w:jc w:val="both"/>
        <w:rPr>
          <w:sz w:val="26"/>
          <w:szCs w:val="26"/>
        </w:rPr>
      </w:pPr>
      <w:r>
        <w:rPr>
          <w:noProof/>
          <w:sz w:val="26"/>
          <w:szCs w:val="26"/>
          <w:lang w:val="en-US"/>
        </w:rPr>
        <w:drawing>
          <wp:inline distT="114300" distB="114300" distL="114300" distR="114300" wp14:anchorId="75D74ACC" wp14:editId="5F5D5A76">
            <wp:extent cx="2905125" cy="2409825"/>
            <wp:effectExtent l="0" t="0" r="9525" b="9525"/>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905125" cy="2409825"/>
                    </a:xfrm>
                    <a:prstGeom prst="rect">
                      <a:avLst/>
                    </a:prstGeom>
                    <a:ln/>
                  </pic:spPr>
                </pic:pic>
              </a:graphicData>
            </a:graphic>
          </wp:inline>
        </w:drawing>
      </w:r>
    </w:p>
    <w:p w:rsidR="00753682" w:rsidRDefault="008779C9" w:rsidP="008779C9">
      <w:pPr>
        <w:spacing w:before="60" w:after="60" w:line="312" w:lineRule="auto"/>
        <w:ind w:firstLine="561"/>
        <w:jc w:val="both"/>
        <w:rPr>
          <w:sz w:val="26"/>
          <w:szCs w:val="26"/>
        </w:rPr>
      </w:pPr>
      <w:r>
        <w:rPr>
          <w:b/>
          <w:sz w:val="26"/>
          <w:szCs w:val="26"/>
        </w:rPr>
        <w:lastRenderedPageBreak/>
        <w:t xml:space="preserve">Câu hỏi: </w:t>
      </w:r>
      <w:r w:rsidRPr="008779C9">
        <w:rPr>
          <w:b/>
          <w:bCs/>
          <w:sz w:val="26"/>
          <w:szCs w:val="26"/>
          <w:lang w:val="en-US"/>
        </w:rPr>
        <w:t>Chính sách của Nhà nước về trật tự, an toàn giao thông đường bộ</w:t>
      </w:r>
      <w:r>
        <w:rPr>
          <w:b/>
          <w:bCs/>
          <w:sz w:val="26"/>
          <w:szCs w:val="26"/>
          <w:lang w:val="en-US"/>
        </w:rPr>
        <w:t xml:space="preserve"> như thế nào</w:t>
      </w:r>
      <w:r>
        <w:rPr>
          <w:b/>
          <w:sz w:val="26"/>
          <w:szCs w:val="26"/>
        </w:rPr>
        <w:t>?</w:t>
      </w:r>
    </w:p>
    <w:p w:rsidR="008779C9" w:rsidRPr="008779C9" w:rsidRDefault="008779C9" w:rsidP="008779C9">
      <w:pPr>
        <w:spacing w:before="60" w:after="60" w:line="312" w:lineRule="auto"/>
        <w:ind w:firstLine="561"/>
        <w:jc w:val="both"/>
        <w:rPr>
          <w:sz w:val="26"/>
          <w:szCs w:val="26"/>
          <w:lang w:val="en-US"/>
        </w:rPr>
      </w:pPr>
      <w:r>
        <w:rPr>
          <w:b/>
          <w:sz w:val="26"/>
          <w:szCs w:val="26"/>
        </w:rPr>
        <w:t xml:space="preserve">Trả lời: </w:t>
      </w:r>
      <w:bookmarkStart w:id="3" w:name="dieu_4"/>
      <w:r w:rsidRPr="008779C9">
        <w:rPr>
          <w:bCs/>
          <w:sz w:val="26"/>
          <w:szCs w:val="26"/>
          <w:lang w:val="en-US"/>
        </w:rPr>
        <w:t>Chính sách của Nhà nước về trật tự, an toàn giao thông đường bộ</w:t>
      </w:r>
      <w:bookmarkEnd w:id="3"/>
      <w:r w:rsidRPr="008779C9">
        <w:rPr>
          <w:bCs/>
          <w:sz w:val="26"/>
          <w:szCs w:val="26"/>
          <w:lang w:val="en-US"/>
        </w:rPr>
        <w:t xml:space="preserve"> </w:t>
      </w:r>
      <w:r>
        <w:rPr>
          <w:bCs/>
          <w:sz w:val="26"/>
          <w:szCs w:val="26"/>
          <w:lang w:val="en-US"/>
        </w:rPr>
        <w:t xml:space="preserve">được quy định tại </w:t>
      </w:r>
      <w:r w:rsidRPr="008779C9">
        <w:rPr>
          <w:bCs/>
          <w:sz w:val="26"/>
          <w:szCs w:val="26"/>
          <w:lang w:val="en-US"/>
        </w:rPr>
        <w:t>Điều 4</w:t>
      </w:r>
      <w:r>
        <w:rPr>
          <w:bCs/>
          <w:sz w:val="26"/>
          <w:szCs w:val="26"/>
          <w:lang w:val="en-US"/>
        </w:rPr>
        <w:t xml:space="preserve"> Luật trật tự, an toàn giao thông đường bộ như sau:</w:t>
      </w:r>
    </w:p>
    <w:p w:rsidR="008779C9" w:rsidRPr="008779C9" w:rsidRDefault="008779C9" w:rsidP="008779C9">
      <w:pPr>
        <w:spacing w:before="60" w:after="60" w:line="312" w:lineRule="auto"/>
        <w:ind w:firstLine="561"/>
        <w:jc w:val="both"/>
        <w:rPr>
          <w:sz w:val="26"/>
          <w:szCs w:val="26"/>
          <w:lang w:val="en-US"/>
        </w:rPr>
      </w:pPr>
      <w:bookmarkStart w:id="4" w:name="khoan_1_4"/>
      <w:r w:rsidRPr="008779C9">
        <w:rPr>
          <w:sz w:val="26"/>
          <w:szCs w:val="26"/>
          <w:lang w:val="en-US"/>
        </w:rPr>
        <w:t>1. Bảo đảm ngân sách nhà nước, cơ sở vật chất, phương tiện, thiết bị hiện đại, các điều kiện bảo đảm và nâng cao năng lực thực thi nhiệm vụ của lực lượng trực tiếp bảo đảm trật tự, an toàn giao thông đường bộ. Huy động, sử dụng các nguồn lực để bảo đảm trật tự, an toàn giao thông đường bộ. Bố trí tương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 an toàn giao thông theo quy định của Chính phủ.</w:t>
      </w:r>
      <w:bookmarkEnd w:id="4"/>
    </w:p>
    <w:p w:rsidR="008779C9" w:rsidRPr="008779C9" w:rsidRDefault="008779C9" w:rsidP="008779C9">
      <w:pPr>
        <w:spacing w:before="60" w:after="60" w:line="312" w:lineRule="auto"/>
        <w:ind w:firstLine="561"/>
        <w:jc w:val="both"/>
        <w:rPr>
          <w:spacing w:val="-6"/>
          <w:sz w:val="26"/>
          <w:szCs w:val="26"/>
          <w:lang w:val="en-US"/>
        </w:rPr>
      </w:pPr>
      <w:r w:rsidRPr="008779C9">
        <w:rPr>
          <w:spacing w:val="-6"/>
          <w:sz w:val="26"/>
          <w:szCs w:val="26"/>
          <w:lang w:val="en-US"/>
        </w:rPr>
        <w:t>2. Hiện đại hoá các trung tâm chỉ huy giao thông; bảo đảm kết nối, chia sẻ Cơ sở dữ liệu về trật tự, an toàn giao thông đường bộ giữa các cơ quan nhà nước có liên quan.</w:t>
      </w:r>
    </w:p>
    <w:p w:rsidR="008779C9" w:rsidRPr="008779C9" w:rsidRDefault="008779C9" w:rsidP="008779C9">
      <w:pPr>
        <w:spacing w:before="60" w:after="60" w:line="312" w:lineRule="auto"/>
        <w:ind w:firstLine="561"/>
        <w:jc w:val="both"/>
        <w:rPr>
          <w:spacing w:val="-4"/>
          <w:sz w:val="26"/>
          <w:szCs w:val="26"/>
          <w:lang w:val="en-US"/>
        </w:rPr>
      </w:pPr>
      <w:r w:rsidRPr="008779C9">
        <w:rPr>
          <w:spacing w:val="-4"/>
          <w:sz w:val="26"/>
          <w:szCs w:val="26"/>
          <w:lang w:val="en-US"/>
        </w:rPr>
        <w:lastRenderedPageBreak/>
        <w:t>3. Tạo điều kiện để cơ quan, tổ chức,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đường bộ; khuyến khích cơ quan, tổ chức, cá nhân tự nguyện tham gia phối hợp bảo đảm trật tự, an toàn giao thông đường bộ phù hợp với quy định của pháp luật, cung cấp thông tin, tài liệu phục vụ công tác bảo đảm trật tự, an toàn giao thông đường bộ và xử lý vi phạm pháp luật về trật tự, an toàn giao thông đường bộ.</w:t>
      </w:r>
    </w:p>
    <w:p w:rsidR="008779C9" w:rsidRPr="008779C9" w:rsidRDefault="008779C9" w:rsidP="008779C9">
      <w:pPr>
        <w:spacing w:before="60" w:after="60" w:line="312" w:lineRule="auto"/>
        <w:ind w:firstLine="561"/>
        <w:jc w:val="both"/>
        <w:rPr>
          <w:sz w:val="26"/>
          <w:szCs w:val="26"/>
          <w:lang w:val="en-US"/>
        </w:rPr>
      </w:pPr>
      <w:r w:rsidRPr="008779C9">
        <w:rPr>
          <w:sz w:val="26"/>
          <w:szCs w:val="26"/>
          <w:lang w:val="en-US"/>
        </w:rPr>
        <w:t>4. Bảo đảm công bằng, bình đẳng, an toàn đối với người tham gia giao thông đường bộ; tạo thuận lợi cho trẻ em, phụ nữ mang thai, người già yếu, người khuyết tật trong tham gia giao thông đường bộ; xây dựng văn hóa giao thông; giáo dục, phổ biến, bồi dưỡng kiến thức pháp luật về giao thông đường bộ cho trẻ em, học sinh để hình thành, nâng cao ý thức tự bảo vệ bản thân và tự giác chấp hành pháp luật khi tham gia giao thông đường bộ.</w:t>
      </w:r>
    </w:p>
    <w:p w:rsidR="008779C9" w:rsidRPr="008779C9" w:rsidRDefault="008779C9" w:rsidP="008779C9">
      <w:pPr>
        <w:spacing w:before="60" w:after="60" w:line="312" w:lineRule="auto"/>
        <w:ind w:firstLine="561"/>
        <w:jc w:val="both"/>
        <w:rPr>
          <w:spacing w:val="-6"/>
          <w:sz w:val="26"/>
          <w:szCs w:val="26"/>
          <w:lang w:val="en-US"/>
        </w:rPr>
      </w:pPr>
      <w:r w:rsidRPr="008779C9">
        <w:rPr>
          <w:spacing w:val="-6"/>
          <w:sz w:val="26"/>
          <w:szCs w:val="26"/>
          <w:lang w:val="en-US"/>
        </w:rPr>
        <w:lastRenderedPageBreak/>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danh dự, nhân phẩm thì được khôi phục; người bị thương, bị tổn hại về sức khỏe, tính mạng thì bản thân, gia đình được hưởng chế độ, chính sách theo quy định của pháp luật.</w:t>
      </w:r>
    </w:p>
    <w:p w:rsidR="008779C9" w:rsidRPr="008779C9" w:rsidRDefault="008779C9" w:rsidP="008779C9">
      <w:pPr>
        <w:spacing w:before="60" w:after="60" w:line="312" w:lineRule="auto"/>
        <w:ind w:firstLine="561"/>
        <w:jc w:val="both"/>
        <w:rPr>
          <w:spacing w:val="-2"/>
          <w:sz w:val="26"/>
          <w:szCs w:val="26"/>
          <w:lang w:val="en-US"/>
        </w:rPr>
      </w:pPr>
      <w:r w:rsidRPr="008779C9">
        <w:rPr>
          <w:spacing w:val="-2"/>
          <w:sz w:val="26"/>
          <w:szCs w:val="26"/>
          <w:lang w:val="en-US"/>
        </w:rPr>
        <w:t>6. Phát triển phương tiện giao thông đường bộ đồng bộ với phát triển kết cấu hạ tầng đường bộ, điều kiện kinh tế - xã hội và nhu cầu đi lại của người dân;</w:t>
      </w:r>
      <w:r w:rsidRPr="008779C9">
        <w:rPr>
          <w:b/>
          <w:bCs/>
          <w:spacing w:val="-2"/>
          <w:sz w:val="26"/>
          <w:szCs w:val="26"/>
          <w:lang w:val="en-US"/>
        </w:rPr>
        <w:t xml:space="preserve"> </w:t>
      </w:r>
      <w:r w:rsidRPr="008779C9">
        <w:rPr>
          <w:spacing w:val="-2"/>
          <w:sz w:val="26"/>
          <w:szCs w:val="26"/>
          <w:lang w:val="en-US"/>
        </w:rPr>
        <w:t>nhập khẩu, sản xuất, lắp ráp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r>
        <w:rPr>
          <w:spacing w:val="-2"/>
          <w:sz w:val="26"/>
          <w:szCs w:val="26"/>
          <w:lang w:val="en-US"/>
        </w:rPr>
        <w:t>/.</w:t>
      </w:r>
    </w:p>
    <w:p w:rsidR="00753682" w:rsidRDefault="008779C9">
      <w:pPr>
        <w:spacing w:before="80"/>
        <w:jc w:val="center"/>
        <w:rPr>
          <w:sz w:val="26"/>
          <w:szCs w:val="26"/>
        </w:rPr>
      </w:pPr>
      <w:r>
        <w:rPr>
          <w:sz w:val="26"/>
          <w:szCs w:val="26"/>
        </w:rPr>
        <w:lastRenderedPageBreak/>
        <w:t>BỘ CÔNG AN</w:t>
      </w:r>
    </w:p>
    <w:p w:rsidR="00753682" w:rsidRDefault="008779C9">
      <w:pPr>
        <w:spacing w:before="80"/>
        <w:jc w:val="center"/>
        <w:rPr>
          <w:sz w:val="22"/>
          <w:szCs w:val="22"/>
        </w:rPr>
      </w:pPr>
      <w:r>
        <w:rPr>
          <w:b/>
          <w:sz w:val="26"/>
          <w:szCs w:val="26"/>
        </w:rPr>
        <w:t>CỤC PHÁP CHẾ VÀ CẢI CÁCH            HÀNH CHÍNH, TƯ PHÁP</w:t>
      </w:r>
      <w:r>
        <w:rPr>
          <w:b/>
          <w:sz w:val="22"/>
          <w:szCs w:val="22"/>
        </w:rPr>
        <w:t xml:space="preserve">                                                               </w:t>
      </w:r>
      <w:r>
        <w:rPr>
          <w:b/>
          <w:sz w:val="22"/>
          <w:szCs w:val="22"/>
        </w:rPr>
        <w:t xml:space="preserve"> </w:t>
      </w:r>
    </w:p>
    <w:p w:rsidR="00753682" w:rsidRDefault="008779C9">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rPr>
      </w:pPr>
    </w:p>
    <w:tbl>
      <w:tblPr>
        <w:tblStyle w:val="a"/>
        <w:tblW w:w="4395" w:type="dxa"/>
        <w:tblLayout w:type="fixed"/>
        <w:tblLook w:val="0000" w:firstRow="0" w:lastRow="0" w:firstColumn="0" w:lastColumn="0" w:noHBand="0" w:noVBand="0"/>
      </w:tblPr>
      <w:tblGrid>
        <w:gridCol w:w="4395"/>
      </w:tblGrid>
      <w:tr w:rsidR="00753682">
        <w:trPr>
          <w:trHeight w:val="1376"/>
        </w:trPr>
        <w:tc>
          <w:tcPr>
            <w:tcW w:w="4395" w:type="dxa"/>
          </w:tcPr>
          <w:p w:rsidR="00753682" w:rsidRDefault="008779C9" w:rsidP="008779C9">
            <w:pPr>
              <w:tabs>
                <w:tab w:val="left" w:pos="4392"/>
              </w:tabs>
              <w:ind w:right="-108"/>
              <w:jc w:val="center"/>
              <w:rPr>
                <w:sz w:val="26"/>
                <w:szCs w:val="26"/>
              </w:rPr>
            </w:pPr>
            <w:r>
              <w:rPr>
                <w:b/>
                <w:sz w:val="26"/>
                <w:szCs w:val="26"/>
              </w:rPr>
              <w:t xml:space="preserve">QUY ĐỊNH </w:t>
            </w:r>
            <w:r>
              <w:rPr>
                <w:b/>
                <w:sz w:val="26"/>
                <w:szCs w:val="26"/>
              </w:rPr>
              <w:t xml:space="preserve">VỀ </w:t>
            </w:r>
            <w:r>
              <w:rPr>
                <w:b/>
                <w:sz w:val="26"/>
                <w:szCs w:val="26"/>
                <w:lang w:val="en-US"/>
              </w:rPr>
              <w:t>NGUYÊN TẮC, CHÍNH SÁCH CỦA NHÀ NƯỚC VỀ</w:t>
            </w:r>
            <w:bookmarkStart w:id="5" w:name="_GoBack"/>
            <w:bookmarkEnd w:id="5"/>
            <w:r>
              <w:rPr>
                <w:b/>
                <w:sz w:val="26"/>
                <w:szCs w:val="26"/>
              </w:rPr>
              <w:t xml:space="preserve"> </w:t>
            </w:r>
            <w:r>
              <w:rPr>
                <w:b/>
                <w:sz w:val="26"/>
                <w:szCs w:val="26"/>
              </w:rPr>
              <w:t>TRẬT TỰ, AN TOÀN GIAO THÔNG ĐƯỜNG BỘ</w:t>
            </w:r>
          </w:p>
        </w:tc>
      </w:tr>
    </w:tbl>
    <w:p w:rsidR="00753682" w:rsidRDefault="00753682">
      <w:pPr>
        <w:spacing w:before="80"/>
        <w:ind w:firstLine="567"/>
        <w:jc w:val="both"/>
        <w:rPr>
          <w:sz w:val="24"/>
          <w:szCs w:val="24"/>
        </w:rPr>
      </w:pPr>
    </w:p>
    <w:p w:rsidR="00753682" w:rsidRDefault="008779C9" w:rsidP="003225B8">
      <w:pPr>
        <w:spacing w:before="80"/>
        <w:ind w:right="109" w:firstLine="142"/>
        <w:jc w:val="center"/>
        <w:rPr>
          <w:sz w:val="24"/>
          <w:szCs w:val="24"/>
        </w:rPr>
      </w:pPr>
      <w:r>
        <w:rPr>
          <w:i/>
          <w:sz w:val="24"/>
          <w:szCs w:val="24"/>
        </w:rPr>
        <w:t xml:space="preserve">Căn cứ Luật </w:t>
      </w:r>
      <w:r>
        <w:rPr>
          <w:i/>
          <w:sz w:val="24"/>
          <w:szCs w:val="24"/>
        </w:rPr>
        <w:t xml:space="preserve">Trật tự, an toàn giao thông đường bộ </w:t>
      </w:r>
      <w:r>
        <w:rPr>
          <w:i/>
          <w:sz w:val="24"/>
          <w:szCs w:val="24"/>
        </w:rPr>
        <w:t xml:space="preserve">được Quốc hội khóa XV, kỳ họp thứ </w:t>
      </w:r>
      <w:r>
        <w:rPr>
          <w:i/>
          <w:sz w:val="24"/>
          <w:szCs w:val="24"/>
        </w:rPr>
        <w:t>7</w:t>
      </w:r>
      <w:r>
        <w:rPr>
          <w:i/>
          <w:sz w:val="24"/>
          <w:szCs w:val="24"/>
        </w:rPr>
        <w:t xml:space="preserve"> thông qua ngày </w:t>
      </w:r>
      <w:r>
        <w:rPr>
          <w:i/>
          <w:sz w:val="24"/>
          <w:szCs w:val="24"/>
        </w:rPr>
        <w:t>27/6/2024</w:t>
      </w:r>
    </w:p>
    <w:p w:rsidR="00753682" w:rsidRDefault="00753682">
      <w:pPr>
        <w:spacing w:before="80"/>
        <w:jc w:val="center"/>
        <w:rPr>
          <w:sz w:val="24"/>
          <w:szCs w:val="24"/>
        </w:rPr>
      </w:pPr>
    </w:p>
    <w:p w:rsidR="00753682" w:rsidRDefault="00753682">
      <w:pPr>
        <w:spacing w:before="80"/>
        <w:jc w:val="both"/>
        <w:rPr>
          <w:sz w:val="24"/>
          <w:szCs w:val="24"/>
        </w:rPr>
      </w:pPr>
    </w:p>
    <w:p w:rsidR="00753682" w:rsidRDefault="008779C9">
      <w:pPr>
        <w:spacing w:before="80"/>
        <w:jc w:val="center"/>
        <w:rPr>
          <w:sz w:val="24"/>
          <w:szCs w:val="24"/>
        </w:rPr>
      </w:pPr>
      <w:r>
        <w:rPr>
          <w:noProof/>
          <w:sz w:val="24"/>
          <w:szCs w:val="24"/>
          <w:lang w:val="en-US"/>
        </w:rPr>
        <w:drawing>
          <wp:inline distT="114300" distB="114300" distL="114300" distR="114300">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866730"/>
                    </a:xfrm>
                    <a:prstGeom prst="rect">
                      <a:avLst/>
                    </a:prstGeom>
                    <a:ln/>
                  </pic:spPr>
                </pic:pic>
              </a:graphicData>
            </a:graphic>
          </wp:inline>
        </w:drawing>
      </w:r>
    </w:p>
    <w:p w:rsidR="00753682" w:rsidRDefault="008779C9">
      <w:pPr>
        <w:spacing w:before="80"/>
        <w:jc w:val="center"/>
        <w:rPr>
          <w:b/>
          <w:sz w:val="24"/>
          <w:szCs w:val="24"/>
        </w:rPr>
      </w:pPr>
      <w:r>
        <w:rPr>
          <w:b/>
          <w:sz w:val="24"/>
          <w:szCs w:val="24"/>
        </w:rPr>
        <w:t>Năm 202</w:t>
      </w:r>
      <w:r>
        <w:rPr>
          <w:b/>
          <w:sz w:val="24"/>
          <w:szCs w:val="24"/>
        </w:rPr>
        <w:t>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174D56"/>
    <w:rsid w:val="003225B8"/>
    <w:rsid w:val="005D7106"/>
    <w:rsid w:val="00753682"/>
    <w:rsid w:val="0087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2024-11-24T14:09:00Z</dcterms:created>
  <dcterms:modified xsi:type="dcterms:W3CDTF">2024-11-24T14:26:00Z</dcterms:modified>
</cp:coreProperties>
</file>