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82" w:rsidRPr="004845E8" w:rsidRDefault="004C2E1A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en-US"/>
        </w:rPr>
      </w:pPr>
      <w:r w:rsidRPr="004845E8">
        <w:rPr>
          <w:rFonts w:asciiTheme="minorHAnsi" w:hAnsiTheme="minorHAnsi"/>
          <w:b/>
          <w:color w:val="000000"/>
          <w:sz w:val="27"/>
          <w:szCs w:val="27"/>
          <w:lang w:val="en-US"/>
        </w:rPr>
        <w:t>CÂU HỎI</w:t>
      </w:r>
      <w:r w:rsidR="009D5287" w:rsidRPr="004845E8">
        <w:rPr>
          <w:rFonts w:ascii="Times New Roman Bold" w:hAnsi="Times New Roman Bold"/>
          <w:b/>
          <w:color w:val="000000"/>
          <w:sz w:val="27"/>
          <w:szCs w:val="27"/>
        </w:rPr>
        <w:t>:</w:t>
      </w:r>
      <w:r w:rsidR="000E6A00" w:rsidRPr="004845E8">
        <w:rPr>
          <w:rFonts w:asciiTheme="minorHAnsi" w:hAnsiTheme="minorHAnsi"/>
          <w:b/>
          <w:color w:val="000000"/>
          <w:sz w:val="27"/>
          <w:szCs w:val="27"/>
        </w:rPr>
        <w:t xml:space="preserve"> </w:t>
      </w:r>
      <w:r w:rsidR="004845E8" w:rsidRPr="004845E8">
        <w:rPr>
          <w:rFonts w:asciiTheme="minorHAnsi" w:hAnsiTheme="minorHAnsi"/>
          <w:b/>
          <w:color w:val="000000"/>
          <w:sz w:val="27"/>
          <w:szCs w:val="27"/>
        </w:rPr>
        <w:t>Các hạng G</w:t>
      </w:r>
      <w:r w:rsidR="00260D2B" w:rsidRPr="004845E8">
        <w:rPr>
          <w:rFonts w:asciiTheme="minorHAnsi" w:hAnsiTheme="minorHAnsi"/>
          <w:b/>
          <w:color w:val="000000"/>
          <w:sz w:val="27"/>
          <w:szCs w:val="27"/>
        </w:rPr>
        <w:t xml:space="preserve">iấy phép lái </w:t>
      </w:r>
      <w:proofErr w:type="gramStart"/>
      <w:r w:rsidR="00260D2B" w:rsidRPr="004845E8">
        <w:rPr>
          <w:rFonts w:asciiTheme="minorHAnsi" w:hAnsiTheme="minorHAnsi"/>
          <w:b/>
          <w:color w:val="000000"/>
          <w:sz w:val="27"/>
          <w:szCs w:val="27"/>
        </w:rPr>
        <w:t>xe</w:t>
      </w:r>
      <w:proofErr w:type="gramEnd"/>
      <w:r w:rsidR="00260D2B" w:rsidRPr="004845E8">
        <w:rPr>
          <w:rFonts w:asciiTheme="minorHAnsi" w:hAnsiTheme="minorHAnsi"/>
          <w:b/>
          <w:color w:val="000000"/>
          <w:sz w:val="27"/>
          <w:szCs w:val="27"/>
        </w:rPr>
        <w:t xml:space="preserve"> được quy định </w:t>
      </w:r>
      <w:r w:rsidR="00AF1BF8" w:rsidRPr="004845E8">
        <w:rPr>
          <w:b/>
          <w:bCs/>
          <w:color w:val="000000"/>
          <w:sz w:val="27"/>
          <w:szCs w:val="27"/>
          <w:lang w:val="en-US"/>
        </w:rPr>
        <w:t>như thế nào</w:t>
      </w:r>
      <w:r w:rsidR="009D5287" w:rsidRPr="004845E8">
        <w:rPr>
          <w:b/>
          <w:color w:val="000000"/>
          <w:sz w:val="27"/>
          <w:szCs w:val="27"/>
        </w:rPr>
        <w:t>?</w:t>
      </w:r>
    </w:p>
    <w:p w:rsidR="00260D2B" w:rsidRPr="004845E8" w:rsidRDefault="004C2E1A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</w:rPr>
      </w:pPr>
      <w:r w:rsidRPr="004845E8">
        <w:rPr>
          <w:rFonts w:asciiTheme="minorHAnsi" w:hAnsiTheme="minorHAnsi"/>
          <w:b/>
          <w:color w:val="000000"/>
          <w:sz w:val="27"/>
          <w:szCs w:val="27"/>
          <w:lang w:val="en-US"/>
        </w:rPr>
        <w:t>TRẢ LỜI</w:t>
      </w:r>
      <w:r w:rsidR="009D5287" w:rsidRPr="004845E8">
        <w:rPr>
          <w:b/>
          <w:color w:val="000000"/>
          <w:sz w:val="27"/>
          <w:szCs w:val="27"/>
        </w:rPr>
        <w:t xml:space="preserve">: </w:t>
      </w:r>
      <w:bookmarkStart w:id="0" w:name="dieu_57"/>
      <w:r w:rsidR="004845E8" w:rsidRPr="004845E8">
        <w:rPr>
          <w:color w:val="000000"/>
          <w:sz w:val="27"/>
          <w:szCs w:val="27"/>
        </w:rPr>
        <w:t xml:space="preserve">Tại các khoản 1, 2, 3, 4 </w:t>
      </w:r>
      <w:r w:rsidR="00260D2B" w:rsidRPr="004845E8">
        <w:rPr>
          <w:bCs/>
          <w:color w:val="000000"/>
          <w:sz w:val="27"/>
          <w:szCs w:val="27"/>
          <w:lang w:val="pt-BR"/>
        </w:rPr>
        <w:t>Điều 57</w:t>
      </w:r>
      <w:r w:rsidR="00260D2B" w:rsidRPr="004845E8">
        <w:rPr>
          <w:bCs/>
          <w:color w:val="000000"/>
          <w:sz w:val="27"/>
          <w:szCs w:val="27"/>
        </w:rPr>
        <w:t xml:space="preserve"> Luật Trật tự, an toàn giao thông đường bộ quy định về </w:t>
      </w:r>
      <w:r w:rsidR="00260D2B" w:rsidRPr="004845E8">
        <w:rPr>
          <w:bCs/>
          <w:color w:val="000000"/>
          <w:sz w:val="27"/>
          <w:szCs w:val="27"/>
          <w:lang w:val="pt-BR"/>
        </w:rPr>
        <w:t xml:space="preserve">Giấy phép lái </w:t>
      </w:r>
      <w:bookmarkEnd w:id="0"/>
      <w:r w:rsidR="004845E8" w:rsidRPr="004845E8">
        <w:rPr>
          <w:bCs/>
          <w:color w:val="000000"/>
          <w:sz w:val="27"/>
          <w:szCs w:val="27"/>
          <w:lang w:val="pt-BR"/>
        </w:rPr>
        <w:t>xe</w:t>
      </w:r>
      <w:r w:rsidR="004845E8" w:rsidRPr="004845E8">
        <w:rPr>
          <w:bCs/>
          <w:color w:val="000000"/>
          <w:sz w:val="27"/>
          <w:szCs w:val="27"/>
        </w:rPr>
        <w:t>, người điều khiển phương tiện giao thông đường bộ được cấp Giấp phép lái xe</w:t>
      </w:r>
      <w:r w:rsidR="00260D2B" w:rsidRPr="004845E8">
        <w:rPr>
          <w:bCs/>
          <w:color w:val="000000"/>
          <w:sz w:val="27"/>
          <w:szCs w:val="27"/>
        </w:rPr>
        <w:t xml:space="preserve"> như sau: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i/>
          <w:color w:val="000000"/>
          <w:sz w:val="27"/>
          <w:szCs w:val="27"/>
          <w:lang w:val="pt-BR"/>
        </w:rPr>
      </w:pPr>
      <w:r w:rsidRPr="004845E8">
        <w:rPr>
          <w:bCs/>
          <w:i/>
          <w:color w:val="000000"/>
          <w:sz w:val="27"/>
          <w:szCs w:val="27"/>
          <w:lang w:val="pt-BR"/>
        </w:rPr>
        <w:t>1. Giấy phép lái xe bao gồm các hạng sau đây: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 xml:space="preserve">a) </w:t>
      </w:r>
      <w:r w:rsidRPr="004845E8">
        <w:rPr>
          <w:b/>
          <w:bCs/>
          <w:color w:val="000000"/>
          <w:sz w:val="27"/>
          <w:szCs w:val="27"/>
          <w:lang w:val="pt-BR"/>
        </w:rPr>
        <w:t>Hạng A1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xe mô tô hai bánh có dung tích xi-lanh đến 125 cm</w:t>
      </w:r>
      <w:r w:rsidRPr="004845E8">
        <w:rPr>
          <w:bCs/>
          <w:color w:val="000000"/>
          <w:sz w:val="27"/>
          <w:szCs w:val="27"/>
          <w:vertAlign w:val="superscript"/>
          <w:lang w:val="pt-BR"/>
        </w:rPr>
        <w:t>3</w:t>
      </w:r>
      <w:r w:rsidRPr="004845E8">
        <w:rPr>
          <w:bCs/>
          <w:color w:val="000000"/>
          <w:sz w:val="27"/>
          <w:szCs w:val="27"/>
          <w:lang w:val="pt-BR"/>
        </w:rPr>
        <w:t> hoặc có công suất động cơ điện đến 11 kW;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 xml:space="preserve">b) </w:t>
      </w:r>
      <w:r w:rsidRPr="004845E8">
        <w:rPr>
          <w:b/>
          <w:bCs/>
          <w:color w:val="000000"/>
          <w:sz w:val="27"/>
          <w:szCs w:val="27"/>
          <w:lang w:val="pt-BR"/>
        </w:rPr>
        <w:t>Hạng A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xe mô tô hai bánh có dung tích xi-lanh trên 125 cm</w:t>
      </w:r>
      <w:r w:rsidRPr="004845E8">
        <w:rPr>
          <w:bCs/>
          <w:color w:val="000000"/>
          <w:sz w:val="27"/>
          <w:szCs w:val="27"/>
          <w:vertAlign w:val="superscript"/>
          <w:lang w:val="pt-BR"/>
        </w:rPr>
        <w:t>3</w:t>
      </w:r>
      <w:r w:rsidRPr="004845E8">
        <w:rPr>
          <w:bCs/>
          <w:color w:val="000000"/>
          <w:sz w:val="27"/>
          <w:szCs w:val="27"/>
          <w:lang w:val="pt-BR"/>
        </w:rPr>
        <w:t> hoặc có công suất động cơ điện trên 11 kW và các loại xe quy định cho giấy phép lái xe hạng A1;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 xml:space="preserve">c) </w:t>
      </w:r>
      <w:r w:rsidRPr="004845E8">
        <w:rPr>
          <w:b/>
          <w:bCs/>
          <w:color w:val="000000"/>
          <w:sz w:val="27"/>
          <w:szCs w:val="27"/>
          <w:lang w:val="pt-BR"/>
        </w:rPr>
        <w:t>Hạng B1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xe mô tô ba bánh và các loại xe quy định cho giấy phép lái xe hạng A1;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lastRenderedPageBreak/>
        <w:t xml:space="preserve">d) </w:t>
      </w:r>
      <w:r w:rsidRPr="004845E8">
        <w:rPr>
          <w:b/>
          <w:bCs/>
          <w:color w:val="000000"/>
          <w:sz w:val="27"/>
          <w:szCs w:val="27"/>
          <w:lang w:val="pt-BR"/>
        </w:rPr>
        <w:t>Hạng B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xe ô tô chở người đến 08 chỗ (không kể chỗ của người lái xe); xe ô tô tải và ô tô chuyên dùng có khối lượng toàn bộ theo thiết kế đến 3.500 kg; các loại xe ô tô quy định cho giấy phép lái xe hạng B kéo rơ moóc có khối lượng toàn bộ theo thiết kế đến 750 kg;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 xml:space="preserve">đ) </w:t>
      </w:r>
      <w:r w:rsidRPr="004845E8">
        <w:rPr>
          <w:b/>
          <w:bCs/>
          <w:color w:val="000000"/>
          <w:sz w:val="27"/>
          <w:szCs w:val="27"/>
          <w:lang w:val="pt-BR"/>
        </w:rPr>
        <w:t>Hạng C1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xe ô tô tải và ô tô chuyên dùng có khối lượng toàn bộ theo thiết kế trên 3.500 kg đến 7.500 kg; các loại xe ô tô tải quy định cho giấy phép lái xe hạng C1 kéo rơ moóc có khối lượng toàn bộ theo thiết kế đến 750 kg; các loại xe quy định cho giấy phép lái xe hạng B;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 xml:space="preserve">e) </w:t>
      </w:r>
      <w:r w:rsidRPr="004845E8">
        <w:rPr>
          <w:b/>
          <w:bCs/>
          <w:color w:val="000000"/>
          <w:sz w:val="27"/>
          <w:szCs w:val="27"/>
          <w:lang w:val="pt-BR"/>
        </w:rPr>
        <w:t>Hạng C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xe ô tô tải và ô tô chuyên dùng có khối lượng toàn bộ theo thiết kế trên 7.500 kg; các loại xe ô tô tải quy định cho giấy phép lái xe hạng C kéo rơ moóc có khối lượng toàn bộ theo thiết kế đến 750 kg; các loại xe quy định cho giấy phép lái xe hạng B và hạng C1;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lastRenderedPageBreak/>
        <w:t xml:space="preserve">g) </w:t>
      </w:r>
      <w:r w:rsidRPr="004845E8">
        <w:rPr>
          <w:b/>
          <w:bCs/>
          <w:color w:val="000000"/>
          <w:sz w:val="27"/>
          <w:szCs w:val="27"/>
          <w:lang w:val="pt-BR"/>
        </w:rPr>
        <w:t>Hạng D1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xe ô tô chở người trên 08 chỗ (không kể chỗ của người lái xe) đến 16 chỗ (không kể chỗ của người lái xe); các loại xe ô tô chở người quy định cho giấy phép lái xe hạng D1 kéo rơ moóc có khối lượng toàn bộ theo thiết kế đến 750 kg; các loại xe quy định cho giấy phép lái xe các hạng B, C1, C;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 xml:space="preserve">h) </w:t>
      </w:r>
      <w:r w:rsidRPr="004845E8">
        <w:rPr>
          <w:b/>
          <w:bCs/>
          <w:color w:val="000000"/>
          <w:sz w:val="27"/>
          <w:szCs w:val="27"/>
          <w:lang w:val="pt-BR"/>
        </w:rPr>
        <w:t>Hạng D2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xe ô tô chở người (kể cả xe buýt) trên 16 chỗ (không kể chỗ của người lái xe) đến 29 chỗ (không kể chỗ của người lái xe); các loại xe ô tô chở người quy định cho giấy phép lái xe hạng D2 kéo rơ moóc có khối lượng toàn bộ theo thiết kế đến 750 kg; các loại xe quy định cho giấy phép lái xe các hạng B, C1, C, D1;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 xml:space="preserve">i) </w:t>
      </w:r>
      <w:r w:rsidRPr="004845E8">
        <w:rPr>
          <w:b/>
          <w:bCs/>
          <w:color w:val="000000"/>
          <w:sz w:val="27"/>
          <w:szCs w:val="27"/>
          <w:lang w:val="pt-BR"/>
        </w:rPr>
        <w:t>Hạng D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xe ô tô chở người (kể cả xe buýt) trên 29 chỗ (không kể chỗ của người lái xe); xe ô tô chở người giường nằm; các loại xe ô tô chở người quy định cho giấy phép lái xe hạng D kéo rơ moóc có khối lượng toàn bộ theo thiết kế đến 750 kg; các loại xe </w:t>
      </w:r>
      <w:r w:rsidRPr="004845E8">
        <w:rPr>
          <w:bCs/>
          <w:color w:val="000000"/>
          <w:sz w:val="27"/>
          <w:szCs w:val="27"/>
          <w:lang w:val="pt-BR"/>
        </w:rPr>
        <w:lastRenderedPageBreak/>
        <w:t>quy định cho giấy phép lái xe các hạng B, C1, C, D1, D2;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 xml:space="preserve">k) </w:t>
      </w:r>
      <w:r w:rsidRPr="004845E8">
        <w:rPr>
          <w:b/>
          <w:bCs/>
          <w:color w:val="000000"/>
          <w:sz w:val="27"/>
          <w:szCs w:val="27"/>
          <w:lang w:val="pt-BR"/>
        </w:rPr>
        <w:t>Hạng BE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các loại xe ô tô quy định cho giấy phép lái xe hạng B kéo rơ moóc có khối lượng toàn bộ theo thiết kế trên 750 kg;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 xml:space="preserve">l) </w:t>
      </w:r>
      <w:r w:rsidRPr="004845E8">
        <w:rPr>
          <w:b/>
          <w:bCs/>
          <w:color w:val="000000"/>
          <w:sz w:val="27"/>
          <w:szCs w:val="27"/>
          <w:lang w:val="pt-BR"/>
        </w:rPr>
        <w:t>Hạng C1E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các loại xe ô tô quy định cho giấy phép lái xe hạng C1 kéo rơ moóc có khối lượng toàn bộ theo thiết kế trên 750 kg;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 xml:space="preserve">m) </w:t>
      </w:r>
      <w:r w:rsidRPr="004845E8">
        <w:rPr>
          <w:b/>
          <w:bCs/>
          <w:color w:val="000000"/>
          <w:sz w:val="27"/>
          <w:szCs w:val="27"/>
          <w:lang w:val="pt-BR"/>
        </w:rPr>
        <w:t>Hạng CE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các loại xe ô tô quy định cho giấy phép lái xe hạng C kéo rơ moóc có khối lượng toàn bộ theo thiết kế trên 750 kg; xe ô tô đầu kéo kéo sơ mi rơ moóc;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 xml:space="preserve">n) </w:t>
      </w:r>
      <w:r w:rsidRPr="004845E8">
        <w:rPr>
          <w:b/>
          <w:bCs/>
          <w:color w:val="000000"/>
          <w:sz w:val="27"/>
          <w:szCs w:val="27"/>
          <w:lang w:val="pt-BR"/>
        </w:rPr>
        <w:t>Hạng D1E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các loại xe ô tô quy định cho giấy phép lái xe hạng D1 kéo rơ moóc có khối lượng toàn bộ theo thiết kế trên 750 kg;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 xml:space="preserve">o) </w:t>
      </w:r>
      <w:r w:rsidRPr="004845E8">
        <w:rPr>
          <w:b/>
          <w:bCs/>
          <w:color w:val="000000"/>
          <w:sz w:val="27"/>
          <w:szCs w:val="27"/>
          <w:lang w:val="pt-BR"/>
        </w:rPr>
        <w:t>Hạng D2E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các loại xe ô tô quy định cho giấy phép lái xe hạng D2 kéo rơ moóc có khối lượng toàn bộ theo thiết kế trên 750 kg;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lastRenderedPageBreak/>
        <w:t xml:space="preserve">p) </w:t>
      </w:r>
      <w:r w:rsidRPr="004845E8">
        <w:rPr>
          <w:b/>
          <w:bCs/>
          <w:color w:val="000000"/>
          <w:sz w:val="27"/>
          <w:szCs w:val="27"/>
          <w:lang w:val="pt-BR"/>
        </w:rPr>
        <w:t>Hạng DE</w:t>
      </w:r>
      <w:r w:rsidRPr="004845E8">
        <w:rPr>
          <w:bCs/>
          <w:color w:val="000000"/>
          <w:sz w:val="27"/>
          <w:szCs w:val="27"/>
          <w:lang w:val="pt-BR"/>
        </w:rPr>
        <w:t xml:space="preserve"> cấp cho người lái các loại xe ô tô quy định cho giấy phép lái xe hạng D kéo rơ moóc có khối lượng toàn bộ theo thiết kế trên 750 kg; xe ô tô chở khách nối toa.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bookmarkStart w:id="1" w:name="khoan_2_57"/>
      <w:r w:rsidRPr="004845E8">
        <w:rPr>
          <w:bCs/>
          <w:i/>
          <w:color w:val="000000"/>
          <w:sz w:val="27"/>
          <w:szCs w:val="27"/>
          <w:lang w:val="pt-BR"/>
        </w:rPr>
        <w:t>2. Người khuyết tật</w:t>
      </w:r>
      <w:r w:rsidRPr="004845E8">
        <w:rPr>
          <w:bCs/>
          <w:color w:val="000000"/>
          <w:sz w:val="27"/>
          <w:szCs w:val="27"/>
          <w:lang w:val="pt-BR"/>
        </w:rPr>
        <w:t xml:space="preserve"> điều khiển xe mô tô ba bánh dùng cho người khuyết tật được cấp giấy phép lái xe hạng A1.</w:t>
      </w:r>
      <w:bookmarkEnd w:id="1"/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color w:val="000000"/>
          <w:sz w:val="27"/>
          <w:szCs w:val="27"/>
          <w:lang w:val="pt-BR"/>
        </w:rPr>
        <w:t>Người khuyết tật điều khiển xe ô tô số tự động có kết cấu phù hợp với tình trạng khuyết tật thì được cấp giấy phép lái xe hạng B.</w:t>
      </w:r>
    </w:p>
    <w:p w:rsidR="00260D2B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i/>
          <w:color w:val="000000"/>
          <w:sz w:val="27"/>
          <w:szCs w:val="27"/>
          <w:lang w:val="pt-BR"/>
        </w:rPr>
        <w:t xml:space="preserve">3. Người điều khiển xe chở hàng bốn bánh </w:t>
      </w:r>
      <w:r w:rsidRPr="004845E8">
        <w:rPr>
          <w:bCs/>
          <w:color w:val="000000"/>
          <w:sz w:val="27"/>
          <w:szCs w:val="27"/>
          <w:lang w:val="pt-BR"/>
        </w:rPr>
        <w:t>có gắn động cơ, xe chở người bốn bánh có gắn động cơ phải sử dụng giấy phép lái xe có hạng phù hợp với xe ô tô tải hoặc xe ô tô chở người tương ứng.</w:t>
      </w:r>
    </w:p>
    <w:p w:rsidR="000E6A00" w:rsidRPr="004845E8" w:rsidRDefault="00260D2B" w:rsidP="004845E8">
      <w:pPr>
        <w:spacing w:before="120" w:after="120" w:line="312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  <w:r w:rsidRPr="004845E8">
        <w:rPr>
          <w:bCs/>
          <w:i/>
          <w:color w:val="000000"/>
          <w:sz w:val="27"/>
          <w:szCs w:val="27"/>
          <w:lang w:val="pt-BR"/>
        </w:rPr>
        <w:t>4. Người điều khiển xe ô tô có thiết kế, cải tạo</w:t>
      </w:r>
      <w:r w:rsidRPr="004845E8">
        <w:rPr>
          <w:bCs/>
          <w:color w:val="000000"/>
          <w:sz w:val="27"/>
          <w:szCs w:val="27"/>
          <w:lang w:val="pt-BR"/>
        </w:rPr>
        <w:t xml:space="preserve"> với số chỗ ít hơn xe cùng loại, kích thước giới hạn tương đương phải sử dụng giấy phép lái xe có hạng phù hợp với xe ô tô cùng loại, kích thước giới hạn tương đương và có số chỗ nhiều nhất.</w:t>
      </w:r>
      <w:r w:rsidR="000E6A00" w:rsidRPr="004845E8">
        <w:rPr>
          <w:bCs/>
          <w:color w:val="000000"/>
          <w:sz w:val="27"/>
          <w:szCs w:val="27"/>
        </w:rPr>
        <w:t>/.</w:t>
      </w:r>
    </w:p>
    <w:p w:rsidR="00E44C87" w:rsidRPr="000E6A00" w:rsidRDefault="00E44C87" w:rsidP="000E6A00">
      <w:pPr>
        <w:spacing w:before="120" w:after="120" w:line="360" w:lineRule="auto"/>
        <w:ind w:firstLine="561"/>
        <w:jc w:val="both"/>
        <w:rPr>
          <w:bCs/>
          <w:color w:val="000000"/>
          <w:sz w:val="27"/>
          <w:szCs w:val="27"/>
          <w:lang w:val="pt-BR"/>
        </w:rPr>
      </w:pPr>
    </w:p>
    <w:p w:rsidR="00753682" w:rsidRDefault="009D5287" w:rsidP="00AF1BF8">
      <w:pPr>
        <w:jc w:val="center"/>
        <w:rPr>
          <w:sz w:val="26"/>
          <w:szCs w:val="26"/>
        </w:rPr>
      </w:pPr>
      <w:bookmarkStart w:id="2" w:name="_GoBack"/>
      <w:bookmarkEnd w:id="2"/>
      <w:r>
        <w:rPr>
          <w:sz w:val="26"/>
          <w:szCs w:val="26"/>
        </w:rPr>
        <w:lastRenderedPageBreak/>
        <w:t>BỘ CÔNG AN</w:t>
      </w:r>
    </w:p>
    <w:p w:rsidR="00753682" w:rsidRDefault="009D5287" w:rsidP="00AF1BF8">
      <w:pPr>
        <w:jc w:val="center"/>
        <w:rPr>
          <w:sz w:val="22"/>
          <w:szCs w:val="22"/>
        </w:rPr>
      </w:pPr>
      <w:r>
        <w:rPr>
          <w:b/>
          <w:sz w:val="26"/>
          <w:szCs w:val="26"/>
        </w:rPr>
        <w:t>CỤC PHÁP CHẾ VÀ CẢI CÁCH            HÀNH CHÍNH, TƯ PHÁP</w:t>
      </w:r>
    </w:p>
    <w:p w:rsidR="00753682" w:rsidRDefault="009D5287" w:rsidP="00AF1BF8">
      <w:pPr>
        <w:spacing w:before="80"/>
        <w:jc w:val="center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AB91B3" wp14:editId="5901591E">
                <wp:simplePos x="0" y="0"/>
                <wp:positionH relativeFrom="column">
                  <wp:posOffset>965200</wp:posOffset>
                </wp:positionH>
                <wp:positionV relativeFrom="paragraph">
                  <wp:posOffset>25400</wp:posOffset>
                </wp:positionV>
                <wp:extent cx="9144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8800" y="378000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5A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6pt;margin-top:2pt;width:1in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" strokecolor="red">
                <v:stroke joinstyle="miter"/>
              </v:shape>
            </w:pict>
          </mc:Fallback>
        </mc:AlternateContent>
      </w:r>
    </w:p>
    <w:p w:rsidR="00753682" w:rsidRPr="004845E8" w:rsidRDefault="00753682">
      <w:pPr>
        <w:spacing w:before="80"/>
        <w:jc w:val="center"/>
        <w:rPr>
          <w:sz w:val="24"/>
          <w:szCs w:val="24"/>
          <w:lang w:val="pt-BR"/>
        </w:rPr>
      </w:pPr>
    </w:p>
    <w:p w:rsidR="000E6A00" w:rsidRPr="004845E8" w:rsidRDefault="000E6A00">
      <w:pPr>
        <w:spacing w:before="80"/>
        <w:jc w:val="center"/>
        <w:rPr>
          <w:sz w:val="24"/>
          <w:szCs w:val="24"/>
          <w:lang w:val="pt-BR"/>
        </w:rPr>
      </w:pPr>
    </w:p>
    <w:tbl>
      <w:tblPr>
        <w:tblStyle w:val="a"/>
        <w:tblW w:w="4644" w:type="dxa"/>
        <w:tblLayout w:type="fixed"/>
        <w:tblLook w:val="0000" w:firstRow="0" w:lastRow="0" w:firstColumn="0" w:lastColumn="0" w:noHBand="0" w:noVBand="0"/>
      </w:tblPr>
      <w:tblGrid>
        <w:gridCol w:w="4644"/>
      </w:tblGrid>
      <w:tr w:rsidR="00753682" w:rsidTr="00423B92">
        <w:trPr>
          <w:trHeight w:val="1376"/>
        </w:trPr>
        <w:tc>
          <w:tcPr>
            <w:tcW w:w="4644" w:type="dxa"/>
          </w:tcPr>
          <w:p w:rsidR="008E4F38" w:rsidRPr="004845E8" w:rsidRDefault="00C660FE" w:rsidP="008E4F38">
            <w:pPr>
              <w:tabs>
                <w:tab w:val="left" w:pos="4392"/>
              </w:tabs>
              <w:ind w:right="-108"/>
              <w:jc w:val="center"/>
              <w:rPr>
                <w:rFonts w:ascii="Times New Roman Bold" w:hAnsi="Times New Roman Bold"/>
                <w:b/>
                <w:spacing w:val="-6"/>
                <w:sz w:val="26"/>
                <w:szCs w:val="26"/>
                <w:lang w:val="pt-BR"/>
              </w:rPr>
            </w:pPr>
            <w:r w:rsidRPr="004845E8">
              <w:rPr>
                <w:b/>
                <w:sz w:val="26"/>
                <w:szCs w:val="26"/>
                <w:lang w:val="pt-BR"/>
              </w:rPr>
              <w:t xml:space="preserve">QUY ĐỊNH </w:t>
            </w:r>
            <w:r w:rsidR="001A18EB" w:rsidRPr="004845E8">
              <w:rPr>
                <w:rFonts w:ascii="Times New Roman Bold" w:hAnsi="Times New Roman Bold"/>
                <w:b/>
                <w:spacing w:val="-6"/>
                <w:sz w:val="26"/>
                <w:szCs w:val="26"/>
                <w:lang w:val="pt-BR"/>
              </w:rPr>
              <w:t xml:space="preserve">VỀ </w:t>
            </w:r>
          </w:p>
          <w:p w:rsidR="000E6A00" w:rsidRPr="004845E8" w:rsidRDefault="004845E8" w:rsidP="008E4F38">
            <w:pPr>
              <w:tabs>
                <w:tab w:val="left" w:pos="4392"/>
              </w:tabs>
              <w:ind w:right="-108"/>
              <w:jc w:val="center"/>
              <w:rPr>
                <w:rFonts w:asciiTheme="minorHAnsi" w:hAnsiTheme="minorHAnsi"/>
                <w:b/>
                <w:spacing w:val="-6"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spacing w:val="-6"/>
                <w:sz w:val="26"/>
                <w:szCs w:val="26"/>
              </w:rPr>
              <w:t>CÁC HẠNG GIẤY PHÉP LÁI XE</w:t>
            </w:r>
          </w:p>
          <w:p w:rsidR="00CA5D52" w:rsidRPr="00E44C87" w:rsidRDefault="00CA5D52" w:rsidP="00E44C87">
            <w:pPr>
              <w:tabs>
                <w:tab w:val="left" w:pos="4392"/>
              </w:tabs>
              <w:ind w:right="-108"/>
              <w:jc w:val="center"/>
              <w:rPr>
                <w:rFonts w:ascii="Times New Roman Bold" w:hAnsi="Times New Roman Bold"/>
                <w:spacing w:val="-8"/>
                <w:sz w:val="26"/>
                <w:szCs w:val="26"/>
              </w:rPr>
            </w:pPr>
          </w:p>
        </w:tc>
      </w:tr>
    </w:tbl>
    <w:p w:rsidR="00753682" w:rsidRPr="005B029B" w:rsidRDefault="00753682">
      <w:pPr>
        <w:spacing w:before="80"/>
        <w:ind w:firstLine="567"/>
        <w:jc w:val="both"/>
        <w:rPr>
          <w:sz w:val="24"/>
          <w:szCs w:val="24"/>
          <w:lang w:val="fi-FI"/>
        </w:rPr>
      </w:pPr>
    </w:p>
    <w:p w:rsidR="00753682" w:rsidRDefault="009D5287" w:rsidP="003225B8">
      <w:pPr>
        <w:spacing w:before="80"/>
        <w:ind w:right="109" w:firstLine="142"/>
        <w:jc w:val="center"/>
        <w:rPr>
          <w:sz w:val="24"/>
          <w:szCs w:val="24"/>
        </w:rPr>
      </w:pPr>
      <w:r>
        <w:rPr>
          <w:i/>
          <w:sz w:val="24"/>
          <w:szCs w:val="24"/>
        </w:rPr>
        <w:t>Căn cứ Luật Trật tự, an toàn giao thông đường bộ được Quốc hội khóa XV, kỳ họp thứ 7 thông qua ngày 27/6/2024</w:t>
      </w:r>
    </w:p>
    <w:p w:rsidR="00753682" w:rsidRDefault="00753682">
      <w:pPr>
        <w:spacing w:before="80"/>
        <w:jc w:val="both"/>
        <w:rPr>
          <w:sz w:val="24"/>
          <w:szCs w:val="24"/>
        </w:rPr>
      </w:pPr>
    </w:p>
    <w:p w:rsidR="000E6A00" w:rsidRDefault="000E6A00">
      <w:pPr>
        <w:spacing w:before="80"/>
        <w:jc w:val="both"/>
        <w:rPr>
          <w:sz w:val="24"/>
          <w:szCs w:val="24"/>
        </w:rPr>
      </w:pPr>
    </w:p>
    <w:p w:rsidR="00753682" w:rsidRDefault="009D5287">
      <w:pPr>
        <w:spacing w:before="8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1996440" cy="2301240"/>
            <wp:effectExtent l="0" t="0" r="3810" b="381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178" cy="2304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B88" w:rsidRDefault="00002B88">
      <w:pPr>
        <w:spacing w:before="80"/>
        <w:jc w:val="center"/>
        <w:rPr>
          <w:b/>
          <w:sz w:val="24"/>
          <w:szCs w:val="24"/>
          <w:lang w:val="en-US"/>
        </w:rPr>
      </w:pPr>
    </w:p>
    <w:p w:rsidR="000E6A00" w:rsidRDefault="000E6A00">
      <w:pPr>
        <w:spacing w:before="80"/>
        <w:jc w:val="center"/>
        <w:rPr>
          <w:b/>
          <w:sz w:val="24"/>
          <w:szCs w:val="24"/>
          <w:lang w:val="en-US"/>
        </w:rPr>
      </w:pPr>
    </w:p>
    <w:p w:rsidR="00753682" w:rsidRDefault="009D5287">
      <w:pPr>
        <w:spacing w:before="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Năm 2024</w:t>
      </w:r>
    </w:p>
    <w:sectPr w:rsidR="00753682">
      <w:pgSz w:w="16840" w:h="11907" w:orient="landscape"/>
      <w:pgMar w:top="850" w:right="793" w:bottom="793" w:left="850" w:header="720" w:footer="720" w:gutter="0"/>
      <w:pgNumType w:start="1"/>
      <w:cols w:num="3" w:space="720" w:equalWidth="0">
        <w:col w:w="4504" w:space="840"/>
        <w:col w:w="4504" w:space="840"/>
        <w:col w:w="4504" w:space="0"/>
      </w:col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82"/>
    <w:rsid w:val="00002B88"/>
    <w:rsid w:val="00003956"/>
    <w:rsid w:val="00013067"/>
    <w:rsid w:val="00024AA8"/>
    <w:rsid w:val="000A2865"/>
    <w:rsid w:val="000E6A00"/>
    <w:rsid w:val="0010179B"/>
    <w:rsid w:val="0013396A"/>
    <w:rsid w:val="00174D56"/>
    <w:rsid w:val="00184148"/>
    <w:rsid w:val="001A18EB"/>
    <w:rsid w:val="001C06AC"/>
    <w:rsid w:val="001C10C3"/>
    <w:rsid w:val="00204DCF"/>
    <w:rsid w:val="00260D2B"/>
    <w:rsid w:val="002640F4"/>
    <w:rsid w:val="002827C0"/>
    <w:rsid w:val="002834B4"/>
    <w:rsid w:val="0029410B"/>
    <w:rsid w:val="002D2061"/>
    <w:rsid w:val="002D70EA"/>
    <w:rsid w:val="003115B1"/>
    <w:rsid w:val="0031418A"/>
    <w:rsid w:val="003225B8"/>
    <w:rsid w:val="003547B3"/>
    <w:rsid w:val="00376291"/>
    <w:rsid w:val="00385487"/>
    <w:rsid w:val="00387B60"/>
    <w:rsid w:val="003A3F14"/>
    <w:rsid w:val="003D2962"/>
    <w:rsid w:val="003E20CA"/>
    <w:rsid w:val="00423B92"/>
    <w:rsid w:val="004554D4"/>
    <w:rsid w:val="00455F0B"/>
    <w:rsid w:val="004845E8"/>
    <w:rsid w:val="00494D86"/>
    <w:rsid w:val="004B20EC"/>
    <w:rsid w:val="004C2E1A"/>
    <w:rsid w:val="004E3703"/>
    <w:rsid w:val="00501551"/>
    <w:rsid w:val="00595E19"/>
    <w:rsid w:val="005A0C86"/>
    <w:rsid w:val="005B029B"/>
    <w:rsid w:val="005D7106"/>
    <w:rsid w:val="0065666C"/>
    <w:rsid w:val="00676D92"/>
    <w:rsid w:val="00691EC4"/>
    <w:rsid w:val="006A7C83"/>
    <w:rsid w:val="006B650E"/>
    <w:rsid w:val="006E6383"/>
    <w:rsid w:val="00727718"/>
    <w:rsid w:val="007500F7"/>
    <w:rsid w:val="00753682"/>
    <w:rsid w:val="007E783A"/>
    <w:rsid w:val="00826EB5"/>
    <w:rsid w:val="008779C9"/>
    <w:rsid w:val="00892496"/>
    <w:rsid w:val="008D4455"/>
    <w:rsid w:val="008E4F38"/>
    <w:rsid w:val="008F39F4"/>
    <w:rsid w:val="00936CFF"/>
    <w:rsid w:val="0096719B"/>
    <w:rsid w:val="00987BE2"/>
    <w:rsid w:val="009D5287"/>
    <w:rsid w:val="00A05820"/>
    <w:rsid w:val="00A512E1"/>
    <w:rsid w:val="00A75B75"/>
    <w:rsid w:val="00AB5BF8"/>
    <w:rsid w:val="00AF1BF8"/>
    <w:rsid w:val="00B007FD"/>
    <w:rsid w:val="00B5536B"/>
    <w:rsid w:val="00B82130"/>
    <w:rsid w:val="00BA4F01"/>
    <w:rsid w:val="00BB1933"/>
    <w:rsid w:val="00BC3052"/>
    <w:rsid w:val="00C11E60"/>
    <w:rsid w:val="00C44578"/>
    <w:rsid w:val="00C660FE"/>
    <w:rsid w:val="00C77EE0"/>
    <w:rsid w:val="00C90DCA"/>
    <w:rsid w:val="00CA5D52"/>
    <w:rsid w:val="00CB04A6"/>
    <w:rsid w:val="00CC55EC"/>
    <w:rsid w:val="00D02455"/>
    <w:rsid w:val="00D02ED7"/>
    <w:rsid w:val="00D37862"/>
    <w:rsid w:val="00D536DF"/>
    <w:rsid w:val="00D70069"/>
    <w:rsid w:val="00DE4C47"/>
    <w:rsid w:val="00E0417D"/>
    <w:rsid w:val="00E353AE"/>
    <w:rsid w:val="00E44C87"/>
    <w:rsid w:val="00E871BA"/>
    <w:rsid w:val="00EA1E88"/>
    <w:rsid w:val="00F23987"/>
    <w:rsid w:val="00F31E39"/>
    <w:rsid w:val="00FB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E14A8E2-A77C-47FC-B615-5E041CF6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120"/>
      <w:ind w:firstLine="720"/>
      <w:jc w:val="both"/>
      <w:outlineLvl w:val="3"/>
    </w:pPr>
    <w:rPr>
      <w:color w:val="000000"/>
      <w:sz w:val="25"/>
      <w:szCs w:val="25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5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D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account</cp:lastModifiedBy>
  <cp:revision>6</cp:revision>
  <dcterms:created xsi:type="dcterms:W3CDTF">2024-11-29T01:42:00Z</dcterms:created>
  <dcterms:modified xsi:type="dcterms:W3CDTF">2024-11-29T01:53:00Z</dcterms:modified>
</cp:coreProperties>
</file>