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D3684A" w:rsidRDefault="004C2E1A" w:rsidP="00D3684A">
      <w:pPr>
        <w:spacing w:before="120" w:after="120" w:line="360" w:lineRule="auto"/>
        <w:ind w:firstLine="561"/>
        <w:jc w:val="both"/>
        <w:rPr>
          <w:bCs/>
          <w:color w:val="000000"/>
          <w:sz w:val="27"/>
          <w:szCs w:val="27"/>
        </w:rPr>
      </w:pPr>
      <w:r w:rsidRPr="00D3684A">
        <w:rPr>
          <w:rFonts w:asciiTheme="minorHAnsi" w:hAnsiTheme="minorHAnsi"/>
          <w:b/>
          <w:color w:val="000000"/>
          <w:sz w:val="27"/>
          <w:szCs w:val="27"/>
          <w:lang w:val="en-US"/>
        </w:rPr>
        <w:t>CÂU HỎI</w:t>
      </w:r>
      <w:r w:rsidR="009D5287" w:rsidRPr="00D3684A">
        <w:rPr>
          <w:rFonts w:ascii="Times New Roman Bold" w:hAnsi="Times New Roman Bold"/>
          <w:b/>
          <w:color w:val="000000"/>
          <w:sz w:val="27"/>
          <w:szCs w:val="27"/>
        </w:rPr>
        <w:t>:</w:t>
      </w:r>
      <w:r w:rsidR="000E6A00" w:rsidRPr="00D3684A">
        <w:rPr>
          <w:rFonts w:asciiTheme="minorHAnsi" w:hAnsiTheme="minorHAnsi"/>
          <w:b/>
          <w:color w:val="000000"/>
          <w:sz w:val="27"/>
          <w:szCs w:val="27"/>
        </w:rPr>
        <w:t xml:space="preserve"> </w:t>
      </w:r>
      <w:r w:rsidR="00D3684A" w:rsidRPr="00D3684A">
        <w:rPr>
          <w:rFonts w:asciiTheme="minorHAnsi" w:hAnsiTheme="minorHAnsi"/>
          <w:b/>
          <w:color w:val="000000"/>
          <w:sz w:val="27"/>
          <w:szCs w:val="27"/>
        </w:rPr>
        <w:t xml:space="preserve">Thời hạn, hiệu lực </w:t>
      </w:r>
      <w:r w:rsidR="00D3684A" w:rsidRPr="00D3684A">
        <w:rPr>
          <w:rFonts w:asciiTheme="minorHAnsi" w:hAnsiTheme="minorHAnsi"/>
          <w:b/>
          <w:color w:val="000000"/>
          <w:sz w:val="27"/>
          <w:szCs w:val="27"/>
        </w:rPr>
        <w:t xml:space="preserve">của Giấy phép lái </w:t>
      </w:r>
      <w:proofErr w:type="gramStart"/>
      <w:r w:rsidR="00D3684A" w:rsidRPr="00D3684A">
        <w:rPr>
          <w:rFonts w:asciiTheme="minorHAnsi" w:hAnsiTheme="minorHAnsi"/>
          <w:b/>
          <w:color w:val="000000"/>
          <w:sz w:val="27"/>
          <w:szCs w:val="27"/>
        </w:rPr>
        <w:t>xe</w:t>
      </w:r>
      <w:proofErr w:type="gramEnd"/>
      <w:r w:rsidR="00D3684A" w:rsidRPr="00D3684A">
        <w:rPr>
          <w:rFonts w:asciiTheme="minorHAnsi" w:hAnsiTheme="minorHAnsi"/>
          <w:b/>
          <w:color w:val="000000"/>
          <w:sz w:val="27"/>
          <w:szCs w:val="27"/>
        </w:rPr>
        <w:t xml:space="preserve">, Giấy phép lái xe quốc tế </w:t>
      </w:r>
      <w:r w:rsidR="00260D2B" w:rsidRPr="00D3684A">
        <w:rPr>
          <w:rFonts w:asciiTheme="minorHAnsi" w:hAnsiTheme="minorHAnsi"/>
          <w:b/>
          <w:color w:val="000000"/>
          <w:sz w:val="27"/>
          <w:szCs w:val="27"/>
        </w:rPr>
        <w:t xml:space="preserve">được quy định </w:t>
      </w:r>
      <w:r w:rsidR="00AF1BF8" w:rsidRPr="00D3684A">
        <w:rPr>
          <w:b/>
          <w:bCs/>
          <w:color w:val="000000"/>
          <w:sz w:val="27"/>
          <w:szCs w:val="27"/>
        </w:rPr>
        <w:t>như thế nào</w:t>
      </w:r>
      <w:r w:rsidR="009D5287" w:rsidRPr="00D3684A">
        <w:rPr>
          <w:b/>
          <w:color w:val="000000"/>
          <w:sz w:val="27"/>
          <w:szCs w:val="27"/>
        </w:rPr>
        <w:t>?</w:t>
      </w:r>
    </w:p>
    <w:p w:rsidR="00260D2B" w:rsidRPr="00D3684A" w:rsidRDefault="004C2E1A" w:rsidP="00D3684A">
      <w:pPr>
        <w:spacing w:before="120" w:after="120" w:line="360" w:lineRule="auto"/>
        <w:ind w:firstLine="561"/>
        <w:jc w:val="both"/>
        <w:rPr>
          <w:bCs/>
          <w:color w:val="000000"/>
          <w:sz w:val="27"/>
          <w:szCs w:val="27"/>
        </w:rPr>
      </w:pPr>
      <w:r w:rsidRPr="00D3684A">
        <w:rPr>
          <w:rFonts w:asciiTheme="minorHAnsi" w:hAnsiTheme="minorHAnsi"/>
          <w:b/>
          <w:color w:val="000000"/>
          <w:sz w:val="27"/>
          <w:szCs w:val="27"/>
        </w:rPr>
        <w:t>TRẢ LỜI</w:t>
      </w:r>
      <w:r w:rsidR="009D5287" w:rsidRPr="00D3684A">
        <w:rPr>
          <w:b/>
          <w:color w:val="000000"/>
          <w:sz w:val="27"/>
          <w:szCs w:val="27"/>
        </w:rPr>
        <w:t xml:space="preserve">: </w:t>
      </w:r>
      <w:bookmarkStart w:id="0" w:name="dieu_57"/>
      <w:r w:rsidR="00D3684A" w:rsidRPr="00D3684A">
        <w:rPr>
          <w:color w:val="000000"/>
          <w:sz w:val="27"/>
          <w:szCs w:val="27"/>
        </w:rPr>
        <w:t xml:space="preserve">Tại khoản 5, 6, 7, 8 </w:t>
      </w:r>
      <w:r w:rsidR="00260D2B" w:rsidRPr="00D3684A">
        <w:rPr>
          <w:bCs/>
          <w:color w:val="000000"/>
          <w:sz w:val="27"/>
          <w:szCs w:val="27"/>
          <w:lang w:val="pt-BR"/>
        </w:rPr>
        <w:t>Điều 57</w:t>
      </w:r>
      <w:r w:rsidR="00260D2B" w:rsidRPr="00D3684A">
        <w:rPr>
          <w:bCs/>
          <w:color w:val="000000"/>
          <w:sz w:val="27"/>
          <w:szCs w:val="27"/>
        </w:rPr>
        <w:t xml:space="preserve"> Luật Trật tự, an toàn giao thông đường bộ quy định về </w:t>
      </w:r>
      <w:r w:rsidR="00D3684A" w:rsidRPr="00D3684A">
        <w:rPr>
          <w:bCs/>
          <w:color w:val="000000"/>
          <w:sz w:val="27"/>
          <w:szCs w:val="27"/>
        </w:rPr>
        <w:t>thời hạn, hiệu lực của</w:t>
      </w:r>
      <w:r w:rsidR="00260D2B" w:rsidRPr="00D3684A">
        <w:rPr>
          <w:bCs/>
          <w:color w:val="000000"/>
          <w:sz w:val="27"/>
          <w:szCs w:val="27"/>
        </w:rPr>
        <w:t xml:space="preserve"> </w:t>
      </w:r>
      <w:r w:rsidR="00260D2B" w:rsidRPr="00D3684A">
        <w:rPr>
          <w:bCs/>
          <w:color w:val="000000"/>
          <w:sz w:val="27"/>
          <w:szCs w:val="27"/>
          <w:lang w:val="pt-BR"/>
        </w:rPr>
        <w:t xml:space="preserve">Giấy phép lái </w:t>
      </w:r>
      <w:bookmarkEnd w:id="0"/>
      <w:r w:rsidR="00D3684A" w:rsidRPr="00D3684A">
        <w:rPr>
          <w:bCs/>
          <w:color w:val="000000"/>
          <w:sz w:val="27"/>
          <w:szCs w:val="27"/>
          <w:lang w:val="pt-BR"/>
        </w:rPr>
        <w:t>xe</w:t>
      </w:r>
      <w:r w:rsidR="00D3684A" w:rsidRPr="00D3684A">
        <w:rPr>
          <w:bCs/>
          <w:color w:val="000000"/>
          <w:sz w:val="27"/>
          <w:szCs w:val="27"/>
        </w:rPr>
        <w:t xml:space="preserve">, Giấy phép lái xe quốc tế và các vấn đề liên quan </w:t>
      </w:r>
      <w:r w:rsidR="00260D2B" w:rsidRPr="00D3684A">
        <w:rPr>
          <w:bCs/>
          <w:color w:val="000000"/>
          <w:sz w:val="27"/>
          <w:szCs w:val="27"/>
        </w:rPr>
        <w:t>như sau:</w:t>
      </w:r>
    </w:p>
    <w:p w:rsidR="00260D2B" w:rsidRPr="00D3684A" w:rsidRDefault="00D3684A" w:rsidP="00D3684A">
      <w:pPr>
        <w:spacing w:before="120" w:after="120" w:line="360" w:lineRule="auto"/>
        <w:ind w:firstLine="561"/>
        <w:jc w:val="both"/>
        <w:rPr>
          <w:bCs/>
          <w:color w:val="000000"/>
          <w:sz w:val="27"/>
          <w:szCs w:val="27"/>
          <w:lang w:val="pt-BR"/>
        </w:rPr>
      </w:pPr>
      <w:r w:rsidRPr="00D3684A">
        <w:rPr>
          <w:bCs/>
          <w:color w:val="000000"/>
          <w:sz w:val="27"/>
          <w:szCs w:val="27"/>
        </w:rPr>
        <w:t>“</w:t>
      </w:r>
      <w:r w:rsidR="00260D2B" w:rsidRPr="00D3684A">
        <w:rPr>
          <w:bCs/>
          <w:i/>
          <w:color w:val="000000"/>
          <w:sz w:val="27"/>
          <w:szCs w:val="27"/>
          <w:lang w:val="pt-BR"/>
        </w:rPr>
        <w:t>5. Thời hạn của giấy phép lái xe được quy định như sau</w:t>
      </w:r>
      <w:r w:rsidR="00260D2B" w:rsidRPr="00D3684A">
        <w:rPr>
          <w:bCs/>
          <w:color w:val="000000"/>
          <w:sz w:val="27"/>
          <w:szCs w:val="27"/>
          <w:lang w:val="pt-BR"/>
        </w:rPr>
        <w:t>:</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a) Giấy phép lái xe các hạng A1, A, B1 không thời hạn;</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b) Giấy phép lái xe hạng B và hạng C1 có thời hạn 10 năm kể từ ngày cấp;</w:t>
      </w:r>
    </w:p>
    <w:p w:rsidR="00260D2B" w:rsidRPr="00D3684A" w:rsidRDefault="00260D2B" w:rsidP="00D3684A">
      <w:pPr>
        <w:spacing w:before="120" w:after="120" w:line="360" w:lineRule="auto"/>
        <w:ind w:firstLine="561"/>
        <w:jc w:val="both"/>
        <w:rPr>
          <w:bCs/>
          <w:color w:val="000000"/>
          <w:sz w:val="27"/>
          <w:szCs w:val="27"/>
          <w:lang w:val="pt-BR"/>
        </w:rPr>
      </w:pPr>
      <w:r w:rsidRPr="00D3684A">
        <w:rPr>
          <w:bCs/>
          <w:color w:val="000000"/>
          <w:sz w:val="27"/>
          <w:szCs w:val="27"/>
          <w:lang w:val="pt-BR"/>
        </w:rPr>
        <w:t>c) Giấy phép lái xe các hạng C, D1, D2, D, BE, C1E, CE, D1E, D2E và DE có thời hạn 05 năm kể từ ngày cấp.</w:t>
      </w:r>
    </w:p>
    <w:p w:rsidR="00D3684A" w:rsidRPr="00D3684A" w:rsidRDefault="00D3684A" w:rsidP="00D3684A">
      <w:pPr>
        <w:spacing w:before="120" w:after="120" w:line="360" w:lineRule="auto"/>
        <w:ind w:firstLine="561"/>
        <w:jc w:val="both"/>
        <w:rPr>
          <w:bCs/>
          <w:color w:val="000000"/>
          <w:sz w:val="27"/>
          <w:szCs w:val="27"/>
          <w:lang w:val="pt-BR"/>
        </w:rPr>
      </w:pPr>
    </w:p>
    <w:p w:rsidR="00D3684A" w:rsidRPr="00D3684A" w:rsidRDefault="00D3684A" w:rsidP="00D3684A">
      <w:pPr>
        <w:spacing w:before="120" w:after="120" w:line="360" w:lineRule="auto"/>
        <w:ind w:firstLine="561"/>
        <w:jc w:val="both"/>
        <w:rPr>
          <w:bCs/>
          <w:color w:val="000000"/>
          <w:sz w:val="27"/>
          <w:szCs w:val="27"/>
          <w:lang w:val="en-US"/>
        </w:rPr>
      </w:pPr>
    </w:p>
    <w:p w:rsidR="00260D2B" w:rsidRPr="00D3684A" w:rsidRDefault="00260D2B" w:rsidP="00D3684A">
      <w:pPr>
        <w:spacing w:before="120" w:after="120" w:line="360" w:lineRule="auto"/>
        <w:ind w:firstLine="561"/>
        <w:jc w:val="both"/>
        <w:rPr>
          <w:bCs/>
          <w:i/>
          <w:color w:val="000000"/>
          <w:sz w:val="27"/>
          <w:szCs w:val="27"/>
          <w:lang w:val="en-US"/>
        </w:rPr>
      </w:pPr>
      <w:r w:rsidRPr="00D3684A">
        <w:rPr>
          <w:bCs/>
          <w:i/>
          <w:color w:val="000000"/>
          <w:sz w:val="27"/>
          <w:szCs w:val="27"/>
          <w:lang w:val="pt-BR"/>
        </w:rPr>
        <w:lastRenderedPageBreak/>
        <w:t>6. Giấy phép lái xe có giá trị sử dụng trong phạm vi lãnh thổ Việt Nam bao gồm:</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a) Giấy phép lái xe do cơ quan có thẩm quyền của Việt Nam cấp;</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b) Giấy phép lái xe quốc tế và giấy phép lái xe quốc gia phù hợp với loại xe được phép điều khiển do quốc gia là thành viên của </w:t>
      </w:r>
      <w:bookmarkStart w:id="1" w:name="tvpllink_xqpdivnngz"/>
      <w:r w:rsidRPr="00D3684A">
        <w:rPr>
          <w:bCs/>
          <w:color w:val="000000"/>
          <w:sz w:val="27"/>
          <w:szCs w:val="27"/>
          <w:lang w:val="pt-BR"/>
        </w:rPr>
        <w:fldChar w:fldCharType="begin"/>
      </w:r>
      <w:r w:rsidRPr="00D3684A">
        <w:rPr>
          <w:bCs/>
          <w:color w:val="000000"/>
          <w:sz w:val="27"/>
          <w:szCs w:val="27"/>
          <w:lang w:val="pt-BR"/>
        </w:rPr>
        <w:instrText xml:space="preserve"> HYPERLINK "https://thuvienphapluat.vn/van-ban/Giao-thong-Van-tai/Cong-uoc-giao-thong-duong-bo-267949.aspx" \t "_blank" </w:instrText>
      </w:r>
      <w:r w:rsidRPr="00D3684A">
        <w:rPr>
          <w:bCs/>
          <w:color w:val="000000"/>
          <w:sz w:val="27"/>
          <w:szCs w:val="27"/>
          <w:lang w:val="pt-BR"/>
        </w:rPr>
        <w:fldChar w:fldCharType="separate"/>
      </w:r>
      <w:r w:rsidRPr="00D3684A">
        <w:rPr>
          <w:rStyle w:val="Hyperlink"/>
          <w:bCs/>
          <w:sz w:val="27"/>
          <w:szCs w:val="27"/>
          <w:u w:val="none"/>
          <w:lang w:val="pt-BR"/>
        </w:rPr>
        <w:t>Công ước của Liên hợp quốc về Giao thông đường bộ năm 1968</w:t>
      </w:r>
      <w:r w:rsidRPr="00D3684A">
        <w:rPr>
          <w:bCs/>
          <w:color w:val="000000"/>
          <w:sz w:val="27"/>
          <w:szCs w:val="27"/>
          <w:lang w:val="en-US"/>
        </w:rPr>
        <w:fldChar w:fldCharType="end"/>
      </w:r>
      <w:bookmarkEnd w:id="1"/>
      <w:r w:rsidRPr="00D3684A">
        <w:rPr>
          <w:bCs/>
          <w:color w:val="000000"/>
          <w:sz w:val="27"/>
          <w:szCs w:val="27"/>
          <w:lang w:val="pt-BR"/>
        </w:rPr>
        <w:t> (sau đây gọi là Công ước Viên) cấp;</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d) Giấy phép lái xe nước ngoài phù hợp với loại xe được phép điều khiển do quốc gia được công nhận theo điều ước quốc tế mà nước </w:t>
      </w:r>
      <w:r w:rsidRPr="00D3684A">
        <w:rPr>
          <w:bCs/>
          <w:color w:val="000000"/>
          <w:sz w:val="27"/>
          <w:szCs w:val="27"/>
          <w:lang w:val="en-US"/>
        </w:rPr>
        <w:t>Cộng hòa xã hội chủ nghĩa </w:t>
      </w:r>
      <w:r w:rsidRPr="00D3684A">
        <w:rPr>
          <w:bCs/>
          <w:color w:val="000000"/>
          <w:sz w:val="27"/>
          <w:szCs w:val="27"/>
          <w:lang w:val="pt-BR"/>
        </w:rPr>
        <w:t>Việt Nam là thành viên.</w:t>
      </w:r>
    </w:p>
    <w:p w:rsidR="00260D2B" w:rsidRPr="00D3684A" w:rsidRDefault="00260D2B" w:rsidP="00D3684A">
      <w:pPr>
        <w:spacing w:before="120" w:after="120" w:line="360" w:lineRule="auto"/>
        <w:ind w:firstLine="561"/>
        <w:jc w:val="both"/>
        <w:rPr>
          <w:bCs/>
          <w:i/>
          <w:color w:val="000000"/>
          <w:sz w:val="27"/>
          <w:szCs w:val="27"/>
          <w:lang w:val="en-US"/>
        </w:rPr>
      </w:pPr>
      <w:r w:rsidRPr="00D3684A">
        <w:rPr>
          <w:bCs/>
          <w:i/>
          <w:color w:val="000000"/>
          <w:sz w:val="27"/>
          <w:szCs w:val="27"/>
          <w:lang w:val="pt-BR"/>
        </w:rPr>
        <w:lastRenderedPageBreak/>
        <w:t>7. Giấy phép lái xe không có hiệu lực trong các trường hợp sau đây:</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a) Giấy phép lái xe hết thời hạn sử dụng;</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b) Giấy phép lái xe bị thu hồi theo quy định tại </w:t>
      </w:r>
      <w:bookmarkStart w:id="2" w:name="tc_20"/>
      <w:r w:rsidRPr="00D3684A">
        <w:rPr>
          <w:bCs/>
          <w:color w:val="000000"/>
          <w:sz w:val="27"/>
          <w:szCs w:val="27"/>
          <w:lang w:val="pt-BR"/>
        </w:rPr>
        <w:t>khoản 5 Điều 62 của Luật này</w:t>
      </w:r>
      <w:bookmarkEnd w:id="2"/>
      <w:r w:rsidRPr="00D3684A">
        <w:rPr>
          <w:bCs/>
          <w:color w:val="000000"/>
          <w:sz w:val="27"/>
          <w:szCs w:val="27"/>
          <w:lang w:val="pt-BR"/>
        </w:rPr>
        <w:t>.</w:t>
      </w:r>
    </w:p>
    <w:p w:rsidR="00260D2B" w:rsidRPr="00D3684A" w:rsidRDefault="00260D2B" w:rsidP="00D3684A">
      <w:pPr>
        <w:spacing w:before="120" w:after="120" w:line="360" w:lineRule="auto"/>
        <w:ind w:firstLine="561"/>
        <w:jc w:val="both"/>
        <w:rPr>
          <w:bCs/>
          <w:i/>
          <w:color w:val="000000"/>
          <w:sz w:val="27"/>
          <w:szCs w:val="27"/>
          <w:lang w:val="en-US"/>
        </w:rPr>
      </w:pPr>
      <w:r w:rsidRPr="00D3684A">
        <w:rPr>
          <w:bCs/>
          <w:i/>
          <w:color w:val="000000"/>
          <w:sz w:val="27"/>
          <w:szCs w:val="27"/>
          <w:lang w:val="pt-BR"/>
        </w:rPr>
        <w:t>8. Giấy phép lái xe quốc tế được quy định như sau:</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a) Giấy phép lái xe quốc tế là giấy phép lái xe do cơ quan nhà nước có thẩm quyền của quốc gia là thành viên của </w:t>
      </w:r>
      <w:bookmarkStart w:id="3" w:name="tvpllink_xqpdivnngz_1"/>
      <w:r w:rsidRPr="00D3684A">
        <w:rPr>
          <w:bCs/>
          <w:color w:val="000000"/>
          <w:sz w:val="27"/>
          <w:szCs w:val="27"/>
          <w:lang w:val="pt-BR"/>
        </w:rPr>
        <w:fldChar w:fldCharType="begin"/>
      </w:r>
      <w:r w:rsidRPr="00D3684A">
        <w:rPr>
          <w:bCs/>
          <w:color w:val="000000"/>
          <w:sz w:val="27"/>
          <w:szCs w:val="27"/>
          <w:lang w:val="pt-BR"/>
        </w:rPr>
        <w:instrText xml:space="preserve"> HYPERLINK "https://thuvienphapluat.vn/van-ban/Giao-thong-Van-tai/Cong-uoc-giao-thong-duong-bo-267949.aspx" \t "_blank" </w:instrText>
      </w:r>
      <w:r w:rsidRPr="00D3684A">
        <w:rPr>
          <w:bCs/>
          <w:color w:val="000000"/>
          <w:sz w:val="27"/>
          <w:szCs w:val="27"/>
          <w:lang w:val="pt-BR"/>
        </w:rPr>
        <w:fldChar w:fldCharType="separate"/>
      </w:r>
      <w:r w:rsidRPr="00D3684A">
        <w:rPr>
          <w:rStyle w:val="Hyperlink"/>
          <w:bCs/>
          <w:sz w:val="27"/>
          <w:szCs w:val="27"/>
          <w:u w:val="none"/>
          <w:lang w:val="pt-BR"/>
        </w:rPr>
        <w:t>Công ước Viên</w:t>
      </w:r>
      <w:r w:rsidRPr="00D3684A">
        <w:rPr>
          <w:bCs/>
          <w:color w:val="000000"/>
          <w:sz w:val="27"/>
          <w:szCs w:val="27"/>
          <w:lang w:val="en-US"/>
        </w:rPr>
        <w:fldChar w:fldCharType="end"/>
      </w:r>
      <w:bookmarkEnd w:id="3"/>
      <w:r w:rsidRPr="00D3684A">
        <w:rPr>
          <w:bCs/>
          <w:color w:val="000000"/>
          <w:sz w:val="27"/>
          <w:szCs w:val="27"/>
          <w:lang w:val="pt-BR"/>
        </w:rPr>
        <w:t> cấp theo một mẫu thống nhất; có thời hạn không quá 03 năm kể từ ngày cấp và phải phù hợp với thời hạn còn hiệu lực của giấy phép lái xe quốc gia;</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b) Người có giấy phép lái xe quốc tế do quốc gia là thành viên của </w:t>
      </w:r>
      <w:bookmarkStart w:id="4" w:name="tvpllink_xqpdivnngz_2"/>
      <w:r w:rsidRPr="00D3684A">
        <w:rPr>
          <w:bCs/>
          <w:color w:val="000000"/>
          <w:sz w:val="27"/>
          <w:szCs w:val="27"/>
          <w:lang w:val="pt-BR"/>
        </w:rPr>
        <w:fldChar w:fldCharType="begin"/>
      </w:r>
      <w:r w:rsidRPr="00D3684A">
        <w:rPr>
          <w:bCs/>
          <w:color w:val="000000"/>
          <w:sz w:val="27"/>
          <w:szCs w:val="27"/>
          <w:lang w:val="pt-BR"/>
        </w:rPr>
        <w:instrText xml:space="preserve"> HYPERLINK "https://thuvienphapluat.vn/van-ban/Giao-thong-Van-tai/Cong-uoc-giao-thong-duong-bo-267949.aspx" \t "_blank" </w:instrText>
      </w:r>
      <w:r w:rsidRPr="00D3684A">
        <w:rPr>
          <w:bCs/>
          <w:color w:val="000000"/>
          <w:sz w:val="27"/>
          <w:szCs w:val="27"/>
          <w:lang w:val="pt-BR"/>
        </w:rPr>
        <w:fldChar w:fldCharType="separate"/>
      </w:r>
      <w:r w:rsidRPr="00D3684A">
        <w:rPr>
          <w:rStyle w:val="Hyperlink"/>
          <w:bCs/>
          <w:sz w:val="27"/>
          <w:szCs w:val="27"/>
          <w:u w:val="none"/>
          <w:lang w:val="pt-BR"/>
        </w:rPr>
        <w:t>Công ước Viên</w:t>
      </w:r>
      <w:r w:rsidRPr="00D3684A">
        <w:rPr>
          <w:bCs/>
          <w:color w:val="000000"/>
          <w:sz w:val="27"/>
          <w:szCs w:val="27"/>
          <w:lang w:val="en-US"/>
        </w:rPr>
        <w:fldChar w:fldCharType="end"/>
      </w:r>
      <w:bookmarkEnd w:id="4"/>
      <w:r w:rsidRPr="00D3684A">
        <w:rPr>
          <w:bCs/>
          <w:color w:val="000000"/>
          <w:sz w:val="27"/>
          <w:szCs w:val="27"/>
          <w:lang w:val="pt-BR"/>
        </w:rPr>
        <w:t xml:space="preserve"> cấp khi lái xe tham gia giao thông đường bộ trên lãnh thổ Việt Nam phải </w:t>
      </w:r>
      <w:r w:rsidRPr="00D3684A">
        <w:rPr>
          <w:bCs/>
          <w:color w:val="000000"/>
          <w:sz w:val="27"/>
          <w:szCs w:val="27"/>
          <w:lang w:val="pt-BR"/>
        </w:rPr>
        <w:lastRenderedPageBreak/>
        <w:t>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rsidR="00260D2B" w:rsidRPr="00D3684A" w:rsidRDefault="00260D2B" w:rsidP="00D3684A">
      <w:pPr>
        <w:spacing w:before="120" w:after="120" w:line="360" w:lineRule="auto"/>
        <w:ind w:firstLine="561"/>
        <w:jc w:val="both"/>
        <w:rPr>
          <w:bCs/>
          <w:color w:val="000000"/>
          <w:sz w:val="27"/>
          <w:szCs w:val="27"/>
          <w:lang w:val="en-US"/>
        </w:rPr>
      </w:pPr>
      <w:r w:rsidRPr="00D3684A">
        <w:rPr>
          <w:bCs/>
          <w:color w:val="000000"/>
          <w:sz w:val="27"/>
          <w:szCs w:val="27"/>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rsidR="000E6A00" w:rsidRPr="00D3684A" w:rsidRDefault="00260D2B" w:rsidP="00D3684A">
      <w:pPr>
        <w:spacing w:before="120" w:after="120" w:line="360" w:lineRule="auto"/>
        <w:ind w:firstLine="561"/>
        <w:jc w:val="both"/>
        <w:rPr>
          <w:bCs/>
          <w:color w:val="000000"/>
          <w:sz w:val="27"/>
          <w:szCs w:val="27"/>
        </w:rPr>
      </w:pPr>
      <w:bookmarkStart w:id="5" w:name="khoan_9_57"/>
      <w:r w:rsidRPr="00D3684A">
        <w:rPr>
          <w:bCs/>
          <w:i/>
          <w:color w:val="000000"/>
          <w:sz w:val="27"/>
          <w:szCs w:val="27"/>
          <w:lang w:val="pt-BR"/>
        </w:rPr>
        <w:lastRenderedPageBreak/>
        <w:t>9. Bộ trưởng Bộ Giao thông vận tải</w:t>
      </w:r>
      <w:r w:rsidRPr="00D3684A">
        <w:rPr>
          <w:bCs/>
          <w:color w:val="000000"/>
          <w:sz w:val="27"/>
          <w:szCs w:val="27"/>
          <w:lang w:val="pt-BR"/>
        </w:rPr>
        <w:t xml:space="preserve"> quy định mẫu giấy phép lái xe và giấy phép lái xe quốc tế, trình tự, thủ tục cấp và việc sử dụng giấy phép lái xe, giấy phép lái xe quốc tế; đối với </w:t>
      </w:r>
      <w:r w:rsidRPr="00D3684A">
        <w:rPr>
          <w:bCs/>
          <w:color w:val="000000"/>
          <w:sz w:val="27"/>
          <w:szCs w:val="27"/>
          <w:lang w:val="en-US"/>
        </w:rPr>
        <w:t>mẫu giấy phép lái xe, trình tự, thủ tục cấp và việc sử dụng giấy phép lái xe của lực lượng quân đội, công an làm nhiệm vụ quốc phòng, an ninh do </w:t>
      </w:r>
      <w:bookmarkEnd w:id="5"/>
      <w:r w:rsidRPr="00D3684A">
        <w:rPr>
          <w:bCs/>
          <w:color w:val="000000"/>
          <w:sz w:val="27"/>
          <w:szCs w:val="27"/>
          <w:lang w:val="pt-BR"/>
        </w:rPr>
        <w:t>Bộ trưởng Bộ Quốc phòng, Bộ trưởng Bộ Công an quy </w:t>
      </w:r>
      <w:r w:rsidRPr="00D3684A">
        <w:rPr>
          <w:bCs/>
          <w:color w:val="000000"/>
          <w:sz w:val="27"/>
          <w:szCs w:val="27"/>
          <w:lang w:val="en-US"/>
        </w:rPr>
        <w:t>định</w:t>
      </w:r>
      <w:r w:rsidR="000E6A00" w:rsidRPr="00D3684A">
        <w:rPr>
          <w:bCs/>
          <w:color w:val="000000"/>
          <w:sz w:val="27"/>
          <w:szCs w:val="27"/>
          <w:lang w:val="pt-BR"/>
        </w:rPr>
        <w:t>.</w:t>
      </w:r>
      <w:r w:rsidR="00D3684A" w:rsidRPr="00D3684A">
        <w:rPr>
          <w:bCs/>
          <w:color w:val="000000"/>
          <w:sz w:val="27"/>
          <w:szCs w:val="27"/>
        </w:rPr>
        <w:t>”.</w:t>
      </w:r>
      <w:r w:rsidR="000E6A00" w:rsidRPr="00D3684A">
        <w:rPr>
          <w:bCs/>
          <w:color w:val="000000"/>
          <w:sz w:val="27"/>
          <w:szCs w:val="27"/>
        </w:rPr>
        <w:t>/.</w:t>
      </w:r>
    </w:p>
    <w:p w:rsidR="00D3684A" w:rsidRPr="00260D2B" w:rsidRDefault="00D3684A" w:rsidP="00D3684A">
      <w:pPr>
        <w:spacing w:before="120" w:after="120" w:line="360" w:lineRule="auto"/>
        <w:ind w:firstLine="561"/>
        <w:jc w:val="both"/>
        <w:rPr>
          <w:bCs/>
          <w:color w:val="000000"/>
          <w:spacing w:val="-2"/>
          <w:sz w:val="27"/>
          <w:szCs w:val="27"/>
          <w:lang w:val="en-US"/>
        </w:rPr>
      </w:pPr>
    </w:p>
    <w:p w:rsidR="00E44C87" w:rsidRPr="000E6A00" w:rsidRDefault="00D3684A" w:rsidP="00D3684A">
      <w:pPr>
        <w:spacing w:before="120" w:after="120" w:line="360" w:lineRule="auto"/>
        <w:jc w:val="center"/>
        <w:rPr>
          <w:bCs/>
          <w:color w:val="000000"/>
          <w:sz w:val="27"/>
          <w:szCs w:val="27"/>
          <w:lang w:val="pt-BR"/>
        </w:rPr>
      </w:pPr>
      <w:r>
        <w:rPr>
          <w:bCs/>
          <w:noProof/>
          <w:color w:val="000000"/>
          <w:sz w:val="27"/>
          <w:szCs w:val="27"/>
          <w:lang w:val="en-US"/>
        </w:rPr>
        <w:drawing>
          <wp:inline distT="0" distB="0" distL="0" distR="0">
            <wp:extent cx="2860040"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hieu-bang-lai-xe-o-to-1.webp"/>
                    <pic:cNvPicPr/>
                  </pic:nvPicPr>
                  <pic:blipFill>
                    <a:blip r:embed="rId4">
                      <a:extLst>
                        <a:ext uri="{28A0092B-C50C-407E-A947-70E740481C1C}">
                          <a14:useLocalDpi xmlns:a14="http://schemas.microsoft.com/office/drawing/2010/main" val="0"/>
                        </a:ext>
                      </a:extLst>
                    </a:blip>
                    <a:stretch>
                      <a:fillRect/>
                    </a:stretch>
                  </pic:blipFill>
                  <pic:spPr>
                    <a:xfrm>
                      <a:off x="0" y="0"/>
                      <a:ext cx="2860040" cy="2034540"/>
                    </a:xfrm>
                    <a:prstGeom prst="rect">
                      <a:avLst/>
                    </a:prstGeom>
                  </pic:spPr>
                </pic:pic>
              </a:graphicData>
            </a:graphic>
          </wp:inline>
        </w:drawing>
      </w:r>
    </w:p>
    <w:p w:rsidR="002640F4" w:rsidRDefault="002640F4" w:rsidP="002640F4">
      <w:pPr>
        <w:spacing w:before="120" w:after="120" w:line="360" w:lineRule="auto"/>
        <w:jc w:val="center"/>
        <w:rPr>
          <w:bCs/>
          <w:color w:val="000000"/>
          <w:sz w:val="27"/>
          <w:szCs w:val="27"/>
          <w:lang w:val="en-US"/>
        </w:rPr>
      </w:pPr>
    </w:p>
    <w:p w:rsidR="00D3684A" w:rsidRDefault="00D3684A" w:rsidP="00AF1BF8">
      <w:pPr>
        <w:jc w:val="center"/>
        <w:rPr>
          <w:sz w:val="26"/>
          <w:szCs w:val="26"/>
        </w:rPr>
      </w:pPr>
    </w:p>
    <w:p w:rsidR="00D3684A" w:rsidRDefault="00D3684A" w:rsidP="00AF1BF8">
      <w:pPr>
        <w:jc w:val="center"/>
        <w:rPr>
          <w:sz w:val="26"/>
          <w:szCs w:val="26"/>
        </w:rPr>
      </w:pPr>
    </w:p>
    <w:p w:rsidR="00753682" w:rsidRDefault="009D5287" w:rsidP="00AF1BF8">
      <w:pPr>
        <w:jc w:val="center"/>
        <w:rPr>
          <w:sz w:val="26"/>
          <w:szCs w:val="26"/>
        </w:rPr>
      </w:pPr>
      <w:bookmarkStart w:id="6" w:name="_GoBack"/>
      <w:bookmarkEnd w:id="6"/>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p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E44C87" w:rsidRDefault="00D3684A" w:rsidP="00D3684A">
            <w:pPr>
              <w:tabs>
                <w:tab w:val="left" w:pos="4392"/>
              </w:tabs>
              <w:ind w:right="-108"/>
              <w:jc w:val="center"/>
              <w:rPr>
                <w:rFonts w:ascii="Times New Roman Bold" w:hAnsi="Times New Roman Bold"/>
                <w:spacing w:val="-8"/>
                <w:sz w:val="26"/>
                <w:szCs w:val="26"/>
              </w:rPr>
            </w:pPr>
            <w:r>
              <w:rPr>
                <w:rFonts w:asciiTheme="minorHAnsi" w:hAnsiTheme="minorHAnsi"/>
                <w:b/>
                <w:color w:val="000000"/>
                <w:sz w:val="27"/>
                <w:szCs w:val="27"/>
              </w:rPr>
              <w:t>THỜI HẠN, HIỆU LỰC CỦA GIẤY PHÉP LÁI XE; GIẤY PHÉP LÁI XE QUỐC TẾ</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99178" cy="2304396"/>
                    </a:xfrm>
                    <a:prstGeom prst="rect">
                      <a:avLst/>
                    </a:prstGeom>
                    <a:ln/>
                  </pic:spPr>
                </pic:pic>
              </a:graphicData>
            </a:graphic>
          </wp:inline>
        </w:drawing>
      </w:r>
    </w:p>
    <w:p w:rsidR="00002B88" w:rsidRDefault="00002B88">
      <w:pPr>
        <w:spacing w:before="80"/>
        <w:jc w:val="center"/>
        <w:rPr>
          <w:b/>
          <w:sz w:val="24"/>
          <w:szCs w:val="24"/>
          <w:lang w:val="en-US"/>
        </w:rPr>
      </w:pPr>
    </w:p>
    <w:p w:rsidR="000E6A00" w:rsidRDefault="000E6A00">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204DCF"/>
    <w:rsid w:val="00260D2B"/>
    <w:rsid w:val="002640F4"/>
    <w:rsid w:val="002827C0"/>
    <w:rsid w:val="002834B4"/>
    <w:rsid w:val="0029410B"/>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94D86"/>
    <w:rsid w:val="004B20EC"/>
    <w:rsid w:val="004C2E1A"/>
    <w:rsid w:val="004E3703"/>
    <w:rsid w:val="00501551"/>
    <w:rsid w:val="00595E19"/>
    <w:rsid w:val="005A0C86"/>
    <w:rsid w:val="005B029B"/>
    <w:rsid w:val="005D7106"/>
    <w:rsid w:val="0065666C"/>
    <w:rsid w:val="00676D92"/>
    <w:rsid w:val="00691EC4"/>
    <w:rsid w:val="006A7C83"/>
    <w:rsid w:val="006B650E"/>
    <w:rsid w:val="006E6383"/>
    <w:rsid w:val="00727718"/>
    <w:rsid w:val="007500F7"/>
    <w:rsid w:val="00753682"/>
    <w:rsid w:val="007E783A"/>
    <w:rsid w:val="00826EB5"/>
    <w:rsid w:val="008779C9"/>
    <w:rsid w:val="00892496"/>
    <w:rsid w:val="008D4455"/>
    <w:rsid w:val="008E4F38"/>
    <w:rsid w:val="008F39F4"/>
    <w:rsid w:val="00936CFF"/>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5D52"/>
    <w:rsid w:val="00CB04A6"/>
    <w:rsid w:val="00CC55EC"/>
    <w:rsid w:val="00D02455"/>
    <w:rsid w:val="00D02ED7"/>
    <w:rsid w:val="00D3684A"/>
    <w:rsid w:val="00D37862"/>
    <w:rsid w:val="00D536DF"/>
    <w:rsid w:val="00D70069"/>
    <w:rsid w:val="00DA798B"/>
    <w:rsid w:val="00DE4C47"/>
    <w:rsid w:val="00E0417D"/>
    <w:rsid w:val="00E353AE"/>
    <w:rsid w:val="00E44C87"/>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4</cp:revision>
  <dcterms:created xsi:type="dcterms:W3CDTF">2024-11-29T01:46:00Z</dcterms:created>
  <dcterms:modified xsi:type="dcterms:W3CDTF">2024-11-29T02:03:00Z</dcterms:modified>
</cp:coreProperties>
</file>