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B3BA" w14:textId="77777777" w:rsidR="00753682" w:rsidRPr="00D0440B" w:rsidRDefault="004C2E1A" w:rsidP="0025255B">
      <w:pPr>
        <w:spacing w:before="120" w:after="120" w:line="360" w:lineRule="auto"/>
        <w:ind w:firstLine="561"/>
        <w:jc w:val="both"/>
        <w:rPr>
          <w:rFonts w:ascii="Times New Roman Bold" w:hAnsi="Times New Roman Bold"/>
          <w:bCs/>
          <w:color w:val="000000"/>
        </w:rPr>
      </w:pPr>
      <w:r w:rsidRPr="00776080">
        <w:rPr>
          <w:rFonts w:asciiTheme="minorHAnsi" w:hAnsiTheme="minorHAnsi"/>
          <w:b/>
          <w:color w:val="000000"/>
          <w:spacing w:val="-10"/>
          <w:lang w:val="en-US"/>
        </w:rPr>
        <w:t>CÂU HỎI</w:t>
      </w:r>
      <w:r w:rsidR="009D5287" w:rsidRPr="00776080">
        <w:rPr>
          <w:rFonts w:ascii="Times New Roman Bold" w:hAnsi="Times New Roman Bold"/>
          <w:b/>
          <w:color w:val="000000"/>
          <w:spacing w:val="-10"/>
        </w:rPr>
        <w:t>:</w:t>
      </w:r>
      <w:r w:rsidR="000E6A00" w:rsidRPr="00776080">
        <w:rPr>
          <w:rFonts w:asciiTheme="minorHAnsi" w:hAnsiTheme="minorHAnsi"/>
          <w:b/>
          <w:color w:val="000000"/>
          <w:spacing w:val="-10"/>
        </w:rPr>
        <w:t xml:space="preserve"> </w:t>
      </w:r>
      <w:r w:rsidR="001D0E4B" w:rsidRPr="00D0440B">
        <w:rPr>
          <w:rFonts w:ascii="Times New Roman Bold" w:hAnsi="Times New Roman Bold"/>
          <w:b/>
          <w:color w:val="000000"/>
        </w:rPr>
        <w:t>Luật Trật tự, an toàn giao thông đường bộ quy định như thế nào về</w:t>
      </w:r>
      <w:r w:rsidR="00EC4FB0" w:rsidRPr="00D0440B">
        <w:rPr>
          <w:rFonts w:ascii="Times New Roman Bold" w:hAnsi="Times New Roman Bold"/>
          <w:b/>
          <w:color w:val="000000"/>
        </w:rPr>
        <w:t xml:space="preserve"> c</w:t>
      </w:r>
      <w:r w:rsidR="00EC4FB0" w:rsidRPr="00D0440B">
        <w:rPr>
          <w:rFonts w:ascii="Times New Roman Bold" w:hAnsi="Times New Roman Bold"/>
          <w:b/>
          <w:bCs/>
          <w:color w:val="000000"/>
        </w:rPr>
        <w:t>hỉ huy, điều khiển giao thông đường bộ</w:t>
      </w:r>
      <w:r w:rsidR="009D5287" w:rsidRPr="00D0440B">
        <w:rPr>
          <w:rFonts w:ascii="Times New Roman Bold" w:hAnsi="Times New Roman Bold"/>
          <w:b/>
          <w:color w:val="000000"/>
        </w:rPr>
        <w:t>?</w:t>
      </w:r>
    </w:p>
    <w:p w14:paraId="7B5EC726" w14:textId="77777777" w:rsidR="00EC4FB0" w:rsidRPr="00EC4FB0" w:rsidRDefault="004C2E1A" w:rsidP="00EC4FB0">
      <w:pPr>
        <w:spacing w:before="120" w:after="120" w:line="360" w:lineRule="auto"/>
        <w:ind w:firstLine="561"/>
        <w:jc w:val="both"/>
        <w:rPr>
          <w:bCs/>
          <w:color w:val="000000"/>
        </w:rPr>
      </w:pPr>
      <w:r w:rsidRPr="0025255B">
        <w:rPr>
          <w:rFonts w:asciiTheme="minorHAnsi" w:hAnsiTheme="minorHAnsi"/>
          <w:b/>
          <w:color w:val="000000"/>
        </w:rPr>
        <w:t>TRẢ LỜI</w:t>
      </w:r>
      <w:r w:rsidR="009D5287" w:rsidRPr="0025255B">
        <w:rPr>
          <w:b/>
          <w:color w:val="000000"/>
        </w:rPr>
        <w:t xml:space="preserve">: </w:t>
      </w:r>
      <w:bookmarkStart w:id="0" w:name="dieu_74"/>
      <w:r w:rsidR="00EC4FB0" w:rsidRPr="00EC4FB0">
        <w:rPr>
          <w:bCs/>
          <w:color w:val="000000"/>
        </w:rPr>
        <w:t>Điều 74</w:t>
      </w:r>
      <w:r w:rsidR="00EC4FB0">
        <w:rPr>
          <w:bCs/>
          <w:color w:val="000000"/>
        </w:rPr>
        <w:t xml:space="preserve"> Luật Trật tự, an toàn giao thông đường bộ quy định về c</w:t>
      </w:r>
      <w:r w:rsidR="00EC4FB0" w:rsidRPr="00EC4FB0">
        <w:rPr>
          <w:bCs/>
          <w:color w:val="000000"/>
        </w:rPr>
        <w:t>hỉ huy, điều khiển giao thông đường bộ</w:t>
      </w:r>
      <w:bookmarkEnd w:id="0"/>
      <w:r w:rsidR="00EC4FB0">
        <w:rPr>
          <w:bCs/>
          <w:color w:val="000000"/>
        </w:rPr>
        <w:t xml:space="preserve"> như sau:</w:t>
      </w:r>
    </w:p>
    <w:p w14:paraId="7E0B022C" w14:textId="77777777" w:rsidR="00EC4FB0" w:rsidRPr="00EC4FB0" w:rsidRDefault="00EC4FB0" w:rsidP="00EC4FB0">
      <w:pPr>
        <w:spacing w:before="120" w:after="120" w:line="360" w:lineRule="auto"/>
        <w:ind w:firstLine="561"/>
        <w:jc w:val="both"/>
        <w:rPr>
          <w:bCs/>
          <w:color w:val="000000"/>
        </w:rPr>
      </w:pPr>
      <w:r w:rsidRPr="00EC4FB0">
        <w:rPr>
          <w:b/>
          <w:bCs/>
          <w:color w:val="000000"/>
        </w:rPr>
        <w:t>1</w:t>
      </w:r>
      <w:r w:rsidRPr="00EC4FB0">
        <w:rPr>
          <w:bCs/>
          <w:color w:val="000000"/>
        </w:rPr>
        <w:t>.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thiết bị thông minh hỗ trợ chỉ huy, điều khiển giao thông đường bộ.</w:t>
      </w:r>
    </w:p>
    <w:p w14:paraId="075F5E7B" w14:textId="77777777" w:rsidR="00EC4FB0" w:rsidRPr="00EC4FB0" w:rsidRDefault="00EC4FB0" w:rsidP="00EC4FB0">
      <w:pPr>
        <w:spacing w:before="120" w:after="120" w:line="360" w:lineRule="auto"/>
        <w:ind w:firstLine="561"/>
        <w:jc w:val="both"/>
        <w:rPr>
          <w:bCs/>
          <w:color w:val="000000"/>
        </w:rPr>
      </w:pPr>
      <w:r w:rsidRPr="00EC4FB0">
        <w:rPr>
          <w:b/>
          <w:bCs/>
          <w:color w:val="000000"/>
        </w:rPr>
        <w:t>2</w:t>
      </w:r>
      <w:r w:rsidRPr="00EC4FB0">
        <w:rPr>
          <w:bCs/>
          <w:color w:val="000000"/>
        </w:rPr>
        <w:t xml:space="preserve">. Điều khiển giao thông đường bộ là hoạt động trực tiếp hướng dẫn giao </w:t>
      </w:r>
      <w:r w:rsidRPr="00EC4FB0">
        <w:rPr>
          <w:bCs/>
          <w:color w:val="000000"/>
        </w:rPr>
        <w:t>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14:paraId="70B837F9" w14:textId="77777777" w:rsidR="00EC4FB0" w:rsidRDefault="00EC4FB0" w:rsidP="00EC4FB0">
      <w:pPr>
        <w:spacing w:before="120" w:after="120" w:line="360" w:lineRule="auto"/>
        <w:ind w:firstLine="561"/>
        <w:jc w:val="both"/>
        <w:rPr>
          <w:bCs/>
          <w:color w:val="000000"/>
        </w:rPr>
      </w:pPr>
      <w:r w:rsidRPr="00EC4FB0">
        <w:rPr>
          <w:b/>
          <w:bCs/>
          <w:color w:val="000000"/>
        </w:rPr>
        <w:t>3</w:t>
      </w:r>
      <w:r w:rsidRPr="00EC4FB0">
        <w:rPr>
          <w:bCs/>
          <w:color w:val="000000"/>
        </w:rPr>
        <w:t>. Bộ trưởng Bộ Công an quy định chi tiết Điều này.</w:t>
      </w:r>
    </w:p>
    <w:p w14:paraId="66483A80" w14:textId="77777777" w:rsidR="00EC4FB0" w:rsidRPr="00EC4FB0" w:rsidRDefault="00EC4FB0" w:rsidP="00EC4FB0">
      <w:pPr>
        <w:spacing w:before="120" w:after="120" w:line="360" w:lineRule="auto"/>
        <w:jc w:val="both"/>
        <w:rPr>
          <w:bCs/>
          <w:color w:val="000000"/>
        </w:rPr>
      </w:pPr>
      <w:r>
        <w:rPr>
          <w:bCs/>
          <w:noProof/>
          <w:color w:val="000000"/>
          <w:lang w:val="en-US"/>
        </w:rPr>
        <w:drawing>
          <wp:inline distT="0" distB="0" distL="0" distR="0" wp14:anchorId="47CA3656" wp14:editId="33934BF2">
            <wp:extent cx="282575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3).jpg"/>
                    <pic:cNvPicPr/>
                  </pic:nvPicPr>
                  <pic:blipFill>
                    <a:blip r:embed="rId4">
                      <a:extLst>
                        <a:ext uri="{28A0092B-C50C-407E-A947-70E740481C1C}">
                          <a14:useLocalDpi xmlns:a14="http://schemas.microsoft.com/office/drawing/2010/main" val="0"/>
                        </a:ext>
                      </a:extLst>
                    </a:blip>
                    <a:stretch>
                      <a:fillRect/>
                    </a:stretch>
                  </pic:blipFill>
                  <pic:spPr>
                    <a:xfrm>
                      <a:off x="0" y="0"/>
                      <a:ext cx="2841091" cy="2359702"/>
                    </a:xfrm>
                    <a:prstGeom prst="rect">
                      <a:avLst/>
                    </a:prstGeom>
                  </pic:spPr>
                </pic:pic>
              </a:graphicData>
            </a:graphic>
          </wp:inline>
        </w:drawing>
      </w:r>
    </w:p>
    <w:p w14:paraId="7BF921D4" w14:textId="77777777" w:rsidR="00EC4FB0" w:rsidRPr="00D0440B" w:rsidRDefault="00EC4FB0" w:rsidP="00EC4FB0">
      <w:pPr>
        <w:spacing w:before="120" w:after="120" w:line="360" w:lineRule="auto"/>
        <w:ind w:firstLine="561"/>
        <w:jc w:val="both"/>
        <w:rPr>
          <w:bCs/>
          <w:color w:val="000000"/>
          <w:spacing w:val="-10"/>
        </w:rPr>
      </w:pPr>
      <w:bookmarkStart w:id="1" w:name="dieu_76"/>
      <w:r w:rsidRPr="00EC4FB0">
        <w:rPr>
          <w:rFonts w:asciiTheme="minorHAnsi" w:hAnsiTheme="minorHAnsi"/>
          <w:b/>
          <w:color w:val="000000"/>
          <w:spacing w:val="-10"/>
        </w:rPr>
        <w:t>CÂU HỎI</w:t>
      </w:r>
      <w:r w:rsidRPr="00776080">
        <w:rPr>
          <w:rFonts w:ascii="Times New Roman Bold" w:hAnsi="Times New Roman Bold"/>
          <w:b/>
          <w:color w:val="000000"/>
          <w:spacing w:val="-10"/>
        </w:rPr>
        <w:t>:</w:t>
      </w:r>
      <w:r w:rsidRPr="00776080">
        <w:rPr>
          <w:rFonts w:asciiTheme="minorHAnsi" w:hAnsiTheme="minorHAnsi"/>
          <w:b/>
          <w:color w:val="000000"/>
          <w:spacing w:val="-10"/>
        </w:rPr>
        <w:t xml:space="preserve"> </w:t>
      </w:r>
      <w:r w:rsidRPr="00D0440B">
        <w:rPr>
          <w:b/>
          <w:color w:val="000000"/>
          <w:spacing w:val="-10"/>
        </w:rPr>
        <w:t>Việc giải quyết tình huống đột xuất gây mất trật tự, an toàn giao thông đường bộ được quy định như thế nào?</w:t>
      </w:r>
    </w:p>
    <w:p w14:paraId="1F93C059" w14:textId="77777777" w:rsidR="00EC4FB0" w:rsidRPr="00EC4FB0" w:rsidRDefault="00EC4FB0" w:rsidP="00EC4FB0">
      <w:pPr>
        <w:spacing w:before="120" w:after="120" w:line="360" w:lineRule="auto"/>
        <w:ind w:firstLine="561"/>
        <w:jc w:val="both"/>
        <w:rPr>
          <w:bCs/>
          <w:color w:val="000000"/>
        </w:rPr>
      </w:pPr>
      <w:r w:rsidRPr="0025255B">
        <w:rPr>
          <w:rFonts w:asciiTheme="minorHAnsi" w:hAnsiTheme="minorHAnsi"/>
          <w:b/>
          <w:color w:val="000000"/>
        </w:rPr>
        <w:t>TRẢ LỜI</w:t>
      </w:r>
      <w:r w:rsidRPr="0025255B">
        <w:rPr>
          <w:b/>
          <w:color w:val="000000"/>
        </w:rPr>
        <w:t xml:space="preserve">: </w:t>
      </w:r>
      <w:r>
        <w:rPr>
          <w:bCs/>
          <w:color w:val="000000"/>
        </w:rPr>
        <w:t>Điều 76 Luật Trật tự, an toàn giao thông đường bộ quy định về g</w:t>
      </w:r>
      <w:r w:rsidRPr="00EC4FB0">
        <w:rPr>
          <w:bCs/>
          <w:color w:val="000000"/>
        </w:rPr>
        <w:t>iải quyết tình huống đột xuất gây mất trật tự, an toàn giao thông trên đường bộ</w:t>
      </w:r>
      <w:bookmarkEnd w:id="1"/>
      <w:r>
        <w:rPr>
          <w:bCs/>
          <w:color w:val="000000"/>
        </w:rPr>
        <w:t xml:space="preserve"> như sau:</w:t>
      </w:r>
    </w:p>
    <w:p w14:paraId="0246D367" w14:textId="77777777" w:rsidR="00EC4FB0" w:rsidRPr="00EC4FB0" w:rsidRDefault="00EC4FB0" w:rsidP="00EC4FB0">
      <w:pPr>
        <w:spacing w:before="120" w:after="120" w:line="360" w:lineRule="auto"/>
        <w:ind w:firstLine="561"/>
        <w:jc w:val="both"/>
        <w:rPr>
          <w:bCs/>
          <w:color w:val="000000"/>
        </w:rPr>
      </w:pPr>
      <w:r w:rsidRPr="00EC4FB0">
        <w:rPr>
          <w:b/>
          <w:bCs/>
          <w:color w:val="000000"/>
        </w:rPr>
        <w:t>1</w:t>
      </w:r>
      <w:r w:rsidRPr="00EC4FB0">
        <w:rPr>
          <w:bCs/>
          <w:color w:val="000000"/>
        </w:rPr>
        <w:t>.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14:paraId="7228CB51" w14:textId="77777777" w:rsidR="00EC4FB0" w:rsidRPr="00EC4FB0" w:rsidRDefault="00EC4FB0" w:rsidP="00EC4FB0">
      <w:pPr>
        <w:spacing w:before="120" w:after="120" w:line="360" w:lineRule="auto"/>
        <w:ind w:firstLine="561"/>
        <w:jc w:val="both"/>
        <w:rPr>
          <w:bCs/>
          <w:color w:val="000000"/>
        </w:rPr>
      </w:pPr>
      <w:r w:rsidRPr="00EC4FB0">
        <w:rPr>
          <w:b/>
          <w:bCs/>
          <w:color w:val="000000"/>
        </w:rPr>
        <w:t>2</w:t>
      </w:r>
      <w:r w:rsidRPr="00EC4FB0">
        <w:rPr>
          <w:bCs/>
          <w:color w:val="000000"/>
        </w:rPr>
        <w:t xml:space="preserve">. Cơ quan, tổ chức, cá nhân khi phát hiện tình huống quy định tại khoản 1 Điều này kịp thời báo cho cơ quan </w:t>
      </w:r>
      <w:r w:rsidRPr="00EC4FB0">
        <w:rPr>
          <w:bCs/>
          <w:color w:val="000000"/>
        </w:rPr>
        <w:lastRenderedPageBreak/>
        <w:t>Công an nơi gần nhất hoặc cơ quan quản lý đường bộ; trường hợp phát hiện vụ tai nạn giao thông đường bộ phải báo ngay cho cơ quan, tổ chức quy định tại </w:t>
      </w:r>
      <w:bookmarkStart w:id="2" w:name="tc_31"/>
      <w:r w:rsidRPr="00EC4FB0">
        <w:rPr>
          <w:bCs/>
          <w:color w:val="000000"/>
        </w:rPr>
        <w:t>khoản 1 Điều 81 của Luật này</w:t>
      </w:r>
      <w:bookmarkEnd w:id="2"/>
      <w:r w:rsidRPr="00EC4FB0">
        <w:rPr>
          <w:bCs/>
          <w:color w:val="000000"/>
        </w:rPr>
        <w:t>; trường hợp tình huống đột xuất có thể gây mất an toàn cho người, phương tiện tham gia giao thông đường bộ phải thực hiện biện pháp cảnh báo an toàn ngay cho người tham gia giao thông đường bộ biết.</w:t>
      </w:r>
    </w:p>
    <w:p w14:paraId="220CC569" w14:textId="77777777" w:rsidR="00EC4FB0" w:rsidRPr="00EC4FB0" w:rsidRDefault="00EC4FB0" w:rsidP="00EC4FB0">
      <w:pPr>
        <w:spacing w:before="120" w:after="120" w:line="360" w:lineRule="auto"/>
        <w:ind w:firstLine="561"/>
        <w:jc w:val="both"/>
        <w:rPr>
          <w:bCs/>
          <w:color w:val="000000"/>
        </w:rPr>
      </w:pPr>
      <w:r w:rsidRPr="00EC4FB0">
        <w:rPr>
          <w:b/>
          <w:bCs/>
          <w:color w:val="000000"/>
        </w:rPr>
        <w:t>3</w:t>
      </w:r>
      <w:r w:rsidRPr="00EC4FB0">
        <w:rPr>
          <w:bCs/>
          <w:color w:val="000000"/>
        </w:rPr>
        <w:t>. Cơ quan Công an, cơ quan quản lý đường bộ khi phát hiện hoặc tiếp nhận thông tin về tình huống quy định tại khoản 1 Điều này, theo chức năng, nhiệm vụ của mình, có trách nhiệm sau đây:</w:t>
      </w:r>
    </w:p>
    <w:p w14:paraId="5EFE1599" w14:textId="77777777" w:rsidR="00EC4FB0" w:rsidRPr="00EC4FB0" w:rsidRDefault="00EC4FB0" w:rsidP="00EC4FB0">
      <w:pPr>
        <w:spacing w:before="120" w:after="120" w:line="360" w:lineRule="auto"/>
        <w:ind w:firstLine="561"/>
        <w:jc w:val="both"/>
        <w:rPr>
          <w:bCs/>
          <w:color w:val="000000"/>
          <w:lang w:val="en-US"/>
        </w:rPr>
      </w:pPr>
      <w:r w:rsidRPr="00EC4FB0">
        <w:rPr>
          <w:bCs/>
          <w:color w:val="000000"/>
          <w:lang w:val="en-US"/>
        </w:rPr>
        <w:t>a) Tổ chức ngay lực lượng đến nơi xảy ra tình huống đột xuất để bảo đảm trật tự, an toàn giao thông đường bộ tại nơi xảy ra tình huống;</w:t>
      </w:r>
    </w:p>
    <w:p w14:paraId="548F8139" w14:textId="77777777" w:rsidR="00EC4FB0" w:rsidRPr="00EC4FB0" w:rsidRDefault="00EC4FB0" w:rsidP="00EC4FB0">
      <w:pPr>
        <w:spacing w:before="120" w:after="120" w:line="360" w:lineRule="auto"/>
        <w:ind w:firstLine="561"/>
        <w:jc w:val="both"/>
        <w:rPr>
          <w:bCs/>
          <w:color w:val="000000"/>
          <w:lang w:val="en-US"/>
        </w:rPr>
      </w:pPr>
      <w:r w:rsidRPr="00EC4FB0">
        <w:rPr>
          <w:bCs/>
          <w:color w:val="000000"/>
          <w:lang w:val="en-US"/>
        </w:rPr>
        <w:t>b) Thực hiện các biện pháp quy định tại </w:t>
      </w:r>
      <w:bookmarkStart w:id="3" w:name="tc_33"/>
      <w:r w:rsidRPr="00EC4FB0">
        <w:rPr>
          <w:bCs/>
          <w:color w:val="000000"/>
          <w:lang w:val="en-US"/>
        </w:rPr>
        <w:t>khoản 2 Điều 74 của Luật này</w:t>
      </w:r>
      <w:bookmarkEnd w:id="3"/>
      <w:r w:rsidRPr="00EC4FB0">
        <w:rPr>
          <w:bCs/>
          <w:color w:val="000000"/>
          <w:lang w:val="en-US"/>
        </w:rPr>
        <w:t>;</w:t>
      </w:r>
    </w:p>
    <w:p w14:paraId="205D3E1A" w14:textId="77777777" w:rsidR="00EC4FB0" w:rsidRPr="00EC4FB0" w:rsidRDefault="00EC4FB0" w:rsidP="00EC4FB0">
      <w:pPr>
        <w:spacing w:before="120" w:after="120" w:line="360" w:lineRule="auto"/>
        <w:ind w:firstLine="561"/>
        <w:jc w:val="both"/>
        <w:rPr>
          <w:bCs/>
          <w:color w:val="000000"/>
          <w:lang w:val="en-US"/>
        </w:rPr>
      </w:pPr>
      <w:r w:rsidRPr="00EC4FB0">
        <w:rPr>
          <w:bCs/>
          <w:color w:val="000000"/>
          <w:lang w:val="en-US"/>
        </w:rPr>
        <w:t>c) Khắc phục kịp thời các hư hỏng về kết cấu hạ tầng giao thông đường bộ gây mất trật tự, an toàn giao thông đường bộ;</w:t>
      </w:r>
    </w:p>
    <w:p w14:paraId="34242F7B" w14:textId="77777777" w:rsidR="00EC4FB0" w:rsidRPr="00EC4FB0" w:rsidRDefault="00EC4FB0" w:rsidP="00EC4FB0">
      <w:pPr>
        <w:spacing w:before="120" w:after="120" w:line="360" w:lineRule="auto"/>
        <w:ind w:firstLine="561"/>
        <w:jc w:val="both"/>
        <w:rPr>
          <w:bCs/>
          <w:color w:val="000000"/>
          <w:lang w:val="en-US"/>
        </w:rPr>
      </w:pPr>
      <w:r w:rsidRPr="00EC4FB0">
        <w:rPr>
          <w:bCs/>
          <w:color w:val="000000"/>
          <w:lang w:val="en-US"/>
        </w:rPr>
        <w:t>d) Trường hợp vượt quá khả năng, thẩm quyền, chức năng, nhiệm vụ phải kịp thời thông báo cho cơ quan có thẩm quyền để giải quyết;</w:t>
      </w:r>
    </w:p>
    <w:p w14:paraId="6B3E58D3" w14:textId="77777777" w:rsidR="00EC4FB0" w:rsidRPr="00EC4FB0" w:rsidRDefault="00EC4FB0" w:rsidP="00EC4FB0">
      <w:pPr>
        <w:spacing w:before="120" w:after="120" w:line="360" w:lineRule="auto"/>
        <w:ind w:firstLine="561"/>
        <w:jc w:val="both"/>
        <w:rPr>
          <w:bCs/>
          <w:color w:val="000000"/>
          <w:lang w:val="en-US"/>
        </w:rPr>
      </w:pPr>
      <w:r w:rsidRPr="00EC4FB0">
        <w:rPr>
          <w:bCs/>
          <w:color w:val="000000"/>
          <w:lang w:val="en-US"/>
        </w:rPr>
        <w:t>đ) Thực hiện các biện pháp khác theo quy định của pháp luật.</w:t>
      </w:r>
    </w:p>
    <w:p w14:paraId="51E27A02" w14:textId="77777777" w:rsidR="001D0E4B" w:rsidRPr="001D0E4B" w:rsidRDefault="001D0E4B" w:rsidP="001D0E4B">
      <w:pPr>
        <w:spacing w:before="60" w:after="60" w:line="312" w:lineRule="auto"/>
        <w:ind w:firstLine="561"/>
        <w:jc w:val="both"/>
        <w:rPr>
          <w:bCs/>
          <w:color w:val="000000"/>
          <w:lang w:val="en-US"/>
        </w:rPr>
      </w:pPr>
    </w:p>
    <w:p w14:paraId="786F732B" w14:textId="77777777" w:rsidR="00776080" w:rsidRPr="0025255B" w:rsidRDefault="00776080" w:rsidP="001D0E4B">
      <w:pPr>
        <w:spacing w:before="120" w:after="120" w:line="360" w:lineRule="auto"/>
        <w:jc w:val="both"/>
        <w:rPr>
          <w:bCs/>
          <w:color w:val="000000"/>
          <w:lang w:val="en-US"/>
        </w:rPr>
      </w:pPr>
      <w:r>
        <w:rPr>
          <w:bCs/>
          <w:noProof/>
          <w:color w:val="000000"/>
          <w:lang w:val="en-US"/>
        </w:rPr>
        <w:drawing>
          <wp:inline distT="0" distB="0" distL="0" distR="0" wp14:anchorId="34D5606D" wp14:editId="78E10372">
            <wp:extent cx="2816860" cy="201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4).jpg"/>
                    <pic:cNvPicPr/>
                  </pic:nvPicPr>
                  <pic:blipFill>
                    <a:blip r:embed="rId5">
                      <a:extLst>
                        <a:ext uri="{28A0092B-C50C-407E-A947-70E740481C1C}">
                          <a14:useLocalDpi xmlns:a14="http://schemas.microsoft.com/office/drawing/2010/main" val="0"/>
                        </a:ext>
                      </a:extLst>
                    </a:blip>
                    <a:stretch>
                      <a:fillRect/>
                    </a:stretch>
                  </pic:blipFill>
                  <pic:spPr>
                    <a:xfrm>
                      <a:off x="0" y="0"/>
                      <a:ext cx="2822936" cy="2016019"/>
                    </a:xfrm>
                    <a:prstGeom prst="rect">
                      <a:avLst/>
                    </a:prstGeom>
                  </pic:spPr>
                </pic:pic>
              </a:graphicData>
            </a:graphic>
          </wp:inline>
        </w:drawing>
      </w:r>
    </w:p>
    <w:p w14:paraId="66A22DA8" w14:textId="77777777" w:rsidR="00776080" w:rsidRDefault="009D5287" w:rsidP="00776080">
      <w:pPr>
        <w:spacing w:line="276" w:lineRule="auto"/>
        <w:jc w:val="center"/>
        <w:rPr>
          <w:sz w:val="26"/>
          <w:szCs w:val="26"/>
        </w:rPr>
      </w:pPr>
      <w:r>
        <w:rPr>
          <w:sz w:val="26"/>
          <w:szCs w:val="26"/>
        </w:rPr>
        <w:t>BỘ CÔNG AN</w:t>
      </w:r>
    </w:p>
    <w:p w14:paraId="76BE7BBE"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049E0F94"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B4E220D" wp14:editId="2F7D2D75">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3EC85571" w14:textId="77777777" w:rsidR="00753682" w:rsidRDefault="00753682">
      <w:pPr>
        <w:spacing w:before="80"/>
        <w:jc w:val="center"/>
        <w:rPr>
          <w:sz w:val="24"/>
          <w:szCs w:val="24"/>
        </w:rPr>
      </w:pPr>
    </w:p>
    <w:p w14:paraId="26829E21"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5C937D38" w14:textId="77777777" w:rsidTr="00423B92">
        <w:trPr>
          <w:trHeight w:val="1376"/>
        </w:trPr>
        <w:tc>
          <w:tcPr>
            <w:tcW w:w="4644" w:type="dxa"/>
          </w:tcPr>
          <w:p w14:paraId="7BF915CD"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VỀ</w:t>
            </w:r>
          </w:p>
          <w:p w14:paraId="1DC6540F" w14:textId="77777777" w:rsidR="00CA5D52" w:rsidRPr="00EC4FB0" w:rsidRDefault="00EC4FB0" w:rsidP="00EC4FB0">
            <w:pPr>
              <w:tabs>
                <w:tab w:val="left" w:pos="4392"/>
              </w:tabs>
              <w:ind w:right="-108"/>
              <w:jc w:val="center"/>
              <w:rPr>
                <w:rFonts w:asciiTheme="minorHAnsi" w:hAnsiTheme="minorHAnsi"/>
                <w:spacing w:val="4"/>
                <w:sz w:val="26"/>
                <w:szCs w:val="26"/>
              </w:rPr>
            </w:pPr>
            <w:r w:rsidRPr="00EC4FB0">
              <w:rPr>
                <w:rFonts w:asciiTheme="minorHAnsi" w:hAnsiTheme="minorHAnsi"/>
                <w:b/>
                <w:spacing w:val="4"/>
                <w:sz w:val="26"/>
                <w:szCs w:val="26"/>
              </w:rPr>
              <w:t>C</w:t>
            </w:r>
            <w:r w:rsidRPr="00EC4FB0">
              <w:rPr>
                <w:b/>
                <w:bCs/>
                <w:color w:val="000000"/>
                <w:spacing w:val="4"/>
              </w:rPr>
              <w:t xml:space="preserve">hỉ huy, điều khiển giao thông đường bộ; </w:t>
            </w:r>
            <w:r w:rsidRPr="00EC4FB0">
              <w:rPr>
                <w:rFonts w:asciiTheme="minorHAnsi" w:hAnsiTheme="minorHAnsi"/>
                <w:b/>
                <w:color w:val="000000"/>
                <w:spacing w:val="4"/>
              </w:rPr>
              <w:t>giải quyết tình huống đột xuất gây mất trật tự, an toàn giao thông đường bộ</w:t>
            </w:r>
          </w:p>
        </w:tc>
      </w:tr>
    </w:tbl>
    <w:p w14:paraId="2137A8E9" w14:textId="77777777" w:rsidR="00753682" w:rsidRPr="005B029B" w:rsidRDefault="00753682">
      <w:pPr>
        <w:spacing w:before="80"/>
        <w:ind w:firstLine="567"/>
        <w:jc w:val="both"/>
        <w:rPr>
          <w:sz w:val="24"/>
          <w:szCs w:val="24"/>
          <w:lang w:val="fi-FI"/>
        </w:rPr>
      </w:pPr>
    </w:p>
    <w:p w14:paraId="6F57A4C5"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10590744" w14:textId="77777777" w:rsidR="00753682" w:rsidRDefault="00753682">
      <w:pPr>
        <w:spacing w:before="80"/>
        <w:jc w:val="both"/>
        <w:rPr>
          <w:sz w:val="24"/>
          <w:szCs w:val="24"/>
        </w:rPr>
      </w:pPr>
    </w:p>
    <w:p w14:paraId="42786C2F" w14:textId="77777777" w:rsidR="000E6A00" w:rsidRDefault="000E6A00">
      <w:pPr>
        <w:spacing w:before="80"/>
        <w:jc w:val="both"/>
        <w:rPr>
          <w:sz w:val="24"/>
          <w:szCs w:val="24"/>
        </w:rPr>
      </w:pPr>
    </w:p>
    <w:p w14:paraId="20DB0E8F" w14:textId="77777777" w:rsidR="00753682" w:rsidRDefault="009D5287">
      <w:pPr>
        <w:spacing w:before="80"/>
        <w:jc w:val="center"/>
        <w:rPr>
          <w:sz w:val="24"/>
          <w:szCs w:val="24"/>
        </w:rPr>
      </w:pPr>
      <w:r>
        <w:rPr>
          <w:noProof/>
          <w:sz w:val="24"/>
          <w:szCs w:val="24"/>
          <w:lang w:val="en-US"/>
        </w:rPr>
        <w:drawing>
          <wp:inline distT="114300" distB="114300" distL="114300" distR="114300" wp14:anchorId="7045A829" wp14:editId="3B5111C0">
            <wp:extent cx="1676400" cy="205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78710" cy="2060235"/>
                    </a:xfrm>
                    <a:prstGeom prst="rect">
                      <a:avLst/>
                    </a:prstGeom>
                    <a:ln/>
                  </pic:spPr>
                </pic:pic>
              </a:graphicData>
            </a:graphic>
          </wp:inline>
        </w:drawing>
      </w:r>
    </w:p>
    <w:p w14:paraId="0ECA425E" w14:textId="77777777" w:rsidR="00002B88" w:rsidRDefault="00002B88">
      <w:pPr>
        <w:spacing w:before="80"/>
        <w:jc w:val="center"/>
        <w:rPr>
          <w:b/>
          <w:sz w:val="24"/>
          <w:szCs w:val="24"/>
          <w:lang w:val="en-US"/>
        </w:rPr>
      </w:pPr>
    </w:p>
    <w:p w14:paraId="0060CF64" w14:textId="77777777" w:rsidR="00EC4FB0" w:rsidRDefault="00EC4FB0">
      <w:pPr>
        <w:spacing w:before="80"/>
        <w:jc w:val="center"/>
        <w:rPr>
          <w:b/>
          <w:sz w:val="24"/>
          <w:szCs w:val="24"/>
          <w:lang w:val="en-US"/>
        </w:rPr>
      </w:pPr>
    </w:p>
    <w:p w14:paraId="1D00EE7F"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95BEC"/>
    <w:rsid w:val="003A3F14"/>
    <w:rsid w:val="003C3D1F"/>
    <w:rsid w:val="003D2962"/>
    <w:rsid w:val="003E20CA"/>
    <w:rsid w:val="00423B92"/>
    <w:rsid w:val="004554D4"/>
    <w:rsid w:val="00455F0B"/>
    <w:rsid w:val="0045752D"/>
    <w:rsid w:val="00475C1B"/>
    <w:rsid w:val="00494D86"/>
    <w:rsid w:val="004B20EC"/>
    <w:rsid w:val="004C2E1A"/>
    <w:rsid w:val="004D6405"/>
    <w:rsid w:val="004E3703"/>
    <w:rsid w:val="00501551"/>
    <w:rsid w:val="00533D06"/>
    <w:rsid w:val="00595E19"/>
    <w:rsid w:val="005A0C86"/>
    <w:rsid w:val="005B029B"/>
    <w:rsid w:val="005C3FBF"/>
    <w:rsid w:val="005D7106"/>
    <w:rsid w:val="0065666C"/>
    <w:rsid w:val="00676D92"/>
    <w:rsid w:val="00691EC4"/>
    <w:rsid w:val="006924BC"/>
    <w:rsid w:val="006A7C83"/>
    <w:rsid w:val="006B650E"/>
    <w:rsid w:val="006C1B6F"/>
    <w:rsid w:val="006D3B93"/>
    <w:rsid w:val="006E6383"/>
    <w:rsid w:val="00727718"/>
    <w:rsid w:val="007500F7"/>
    <w:rsid w:val="00753682"/>
    <w:rsid w:val="00776080"/>
    <w:rsid w:val="007C1F58"/>
    <w:rsid w:val="007C5224"/>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5536B"/>
    <w:rsid w:val="00B71481"/>
    <w:rsid w:val="00B82130"/>
    <w:rsid w:val="00BA4F01"/>
    <w:rsid w:val="00BB1933"/>
    <w:rsid w:val="00BC3052"/>
    <w:rsid w:val="00BC5D28"/>
    <w:rsid w:val="00C11E60"/>
    <w:rsid w:val="00C44578"/>
    <w:rsid w:val="00C56BE1"/>
    <w:rsid w:val="00C660FE"/>
    <w:rsid w:val="00C77EE0"/>
    <w:rsid w:val="00C90DCA"/>
    <w:rsid w:val="00CA437F"/>
    <w:rsid w:val="00CA5D52"/>
    <w:rsid w:val="00CB04A6"/>
    <w:rsid w:val="00CB73EE"/>
    <w:rsid w:val="00CC55EC"/>
    <w:rsid w:val="00D02455"/>
    <w:rsid w:val="00D02ED7"/>
    <w:rsid w:val="00D0440B"/>
    <w:rsid w:val="00D17169"/>
    <w:rsid w:val="00D3684A"/>
    <w:rsid w:val="00D37862"/>
    <w:rsid w:val="00D536DF"/>
    <w:rsid w:val="00D70069"/>
    <w:rsid w:val="00D87B72"/>
    <w:rsid w:val="00DA798B"/>
    <w:rsid w:val="00DE4C47"/>
    <w:rsid w:val="00E0417D"/>
    <w:rsid w:val="00E353AE"/>
    <w:rsid w:val="00E44C87"/>
    <w:rsid w:val="00E515DC"/>
    <w:rsid w:val="00E871BA"/>
    <w:rsid w:val="00EA1E88"/>
    <w:rsid w:val="00EC4FB0"/>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1EDC"/>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2024-11-29T08:17:00Z</dcterms:created>
  <dcterms:modified xsi:type="dcterms:W3CDTF">2024-12-03T08:35:00Z</dcterms:modified>
</cp:coreProperties>
</file>