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358725557f8a14e49d562f5a339ebb1dd19336"/>
    <w:p>
      <w:pPr>
        <w:pStyle w:val="Heading1"/>
      </w:pPr>
      <w:r>
        <w:t xml:space="preserve">Datalake Platform GUI — End-to-End Architecture Audit</w:t>
      </w:r>
    </w:p>
    <w:p>
      <w:pPr>
        <w:pStyle w:val="FirstParagraph"/>
      </w:pPr>
      <w:r>
        <w:t xml:space="preserve">Audit date: 2026-05-12</w:t>
      </w:r>
      <w:r>
        <w:t xml:space="preserve"> </w:t>
      </w:r>
      <w:r>
        <w:t xml:space="preserve">Branch:</w:t>
      </w:r>
      <w:r>
        <w:t xml:space="preserve"> </w:t>
      </w:r>
      <w:r>
        <w:rPr>
          <w:rStyle w:val="VerbatimChar"/>
        </w:rPr>
        <w:t xml:space="preserve">feature/customer-view-availability</w:t>
      </w:r>
      <w:r>
        <w:t xml:space="preserve"> </w:t>
      </w:r>
      <w:r>
        <w:t xml:space="preserve">(HEAD</w:t>
      </w:r>
      <w:r>
        <w:t xml:space="preserve"> </w:t>
      </w:r>
      <w:r>
        <w:rPr>
          <w:rStyle w:val="VerbatimChar"/>
        </w:rPr>
        <w:t xml:space="preserve">a4fdc19</w:t>
      </w:r>
      <w:r>
        <w:t xml:space="preserve">)</w:t>
      </w:r>
      <w:r>
        <w:t xml:space="preserve"> </w:t>
      </w:r>
      <w:r>
        <w:t xml:space="preserve">Auditor: senior software architect role / static code analysis</w:t>
      </w:r>
    </w:p>
    <w:bookmarkStart w:id="9" w:name="deliverables-in-this-folder"/>
    <w:p>
      <w:pPr>
        <w:pStyle w:val="Heading2"/>
      </w:pPr>
      <w:r>
        <w:t xml:space="preserve">Deliverables in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frontend_flows.csv</w:t>
            </w:r>
          </w:p>
        </w:tc>
        <w:tc>
          <w:tcPr/>
          <w:p>
            <w:pPr>
              <w:pStyle w:val="Compact"/>
            </w:pPr>
            <w:r>
              <w:t xml:space="preserve">Every UI action → callback → api_client fn → endpoint (165 rows).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backend_lineage.csv</w:t>
            </w:r>
          </w:p>
        </w:tc>
        <w:tc>
          <w:tcPr/>
          <w:p>
            <w:pPr>
              <w:pStyle w:val="Compact"/>
            </w:pPr>
            <w:r>
              <w:t xml:space="preserve">Every backend endpoint → router → service → DB query → tables (125 rows).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end_to_end_master.csv</w:t>
            </w:r>
          </w:p>
        </w:tc>
        <w:tc>
          <w:tcPr/>
          <w:p>
            <w:pPr>
              <w:pStyle w:val="Compact"/>
            </w:pPr>
            <w:r>
              <w:t xml:space="preserve">One row per ui_action → endpoint chain with response/error/cache/auth (100+ rows).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gaps_and_actions.md</w:t>
            </w:r>
          </w:p>
        </w:tc>
        <w:tc>
          <w:tcPr/>
          <w:p>
            <w:pPr>
              <w:pStyle w:val="Compact"/>
            </w:pPr>
            <w:r>
              <w:t xml:space="preserve">Missing mappings, low-confidence rows, risks, validation checklist, prioritized action plan, coverage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drawio_blueprint.md</w:t>
            </w:r>
          </w:p>
        </w:tc>
        <w:tc>
          <w:tcPr/>
          <w:p>
            <w:pPr>
              <w:pStyle w:val="Compact"/>
            </w:pPr>
            <w:r>
              <w:t xml:space="preserve">4-page Draw.io build recipe (UI Map, API Map, Backend Lineage, Controls) with node lists, edge lists, color standard, legend.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</w:pPr>
            <w:r>
              <w:t xml:space="preserve">Executive summary + coverage stats.</w:t>
            </w:r>
          </w:p>
        </w:tc>
      </w:tr>
    </w:tbl>
    <w:bookmarkEnd w:id="9"/>
    <w:bookmarkStart w:id="10" w:name="executive-summary-12-takeaways"/>
    <w:p>
      <w:pPr>
        <w:pStyle w:val="Heading2"/>
      </w:pPr>
      <w:r>
        <w:t xml:space="preserve">Executive summary (12 takeaways)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 Dash SPA</w:t>
      </w:r>
      <w:r>
        <w:t xml:space="preserve">, routes resolved on the client at</w:t>
      </w:r>
      <w:r>
        <w:t xml:space="preserve"> </w:t>
      </w:r>
      <w:r>
        <w:rPr>
          <w:rStyle w:val="VerbatimChar"/>
        </w:rPr>
        <w:t xml:space="preserve">app.py:541-619</w:t>
      </w:r>
      <w:r>
        <w:t xml:space="preserve">. 13 top-level pathnames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/datacenters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/datacenter/{id}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/dc-detail/{id}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/global-view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/availability-annual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/customers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/customer-view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/query-explorer</w:t>
      </w:r>
      <w:r>
        <w:t xml:space="preserve">,</w:t>
      </w:r>
      <w:r>
        <w:t xml:space="preserve"> </w:t>
      </w:r>
      <w:r>
        <w:rPr>
          <w:rStyle w:val="VerbatimChar"/>
        </w:rPr>
        <w:t xml:space="preserve">/crm/sellable-potential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/region-drilldown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/settings/...</w:t>
      </w:r>
      <w:r>
        <w:t xml:space="preserve">). All page builders accept a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(time-range) parameter from</w:t>
      </w:r>
      <w:r>
        <w:t xml:space="preserve"> </w:t>
      </w:r>
      <w:r>
        <w:rPr>
          <w:rStyle w:val="VerbatimChar"/>
        </w:rPr>
        <w:t xml:space="preserve">app-time-range</w:t>
      </w:r>
      <w:r>
        <w:t xml:space="preserve"> </w:t>
      </w:r>
      <w:r>
        <w:t xml:space="preserve">store, so every route re-renders on time-range change.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Frontend talks to backend through one façade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src/services/api_client.py</w:t>
      </w:r>
      <w:r>
        <w:t xml:space="preserve"> </w:t>
      </w:r>
      <w:r>
        <w:t xml:space="preserve">(78 wrapper fns), plus</w:t>
      </w:r>
      <w:r>
        <w:t xml:space="preserve"> </w:t>
      </w:r>
      <w:r>
        <w:rPr>
          <w:rStyle w:val="VerbatimChar"/>
        </w:rPr>
        <w:t xml:space="preserve">src/services/admin_client.py</w:t>
      </w:r>
      <w:r>
        <w:t xml:space="preserve"> </w:t>
      </w:r>
      <w:r>
        <w:t xml:space="preserve">(30 fns for admin-api with local fallback) and</w:t>
      </w:r>
      <w:r>
        <w:t xml:space="preserve"> </w:t>
      </w:r>
      <w:r>
        <w:rPr>
          <w:rStyle w:val="VerbatimChar"/>
        </w:rPr>
        <w:t xml:space="preserve">src/services/auranotify_client.py</w:t>
      </w:r>
      <w:r>
        <w:t xml:space="preserve"> </w:t>
      </w:r>
      <w:r>
        <w:t xml:space="preserve">(5 fns calling AuraNotify directly). Every wrapper goes through</w:t>
      </w:r>
      <w:r>
        <w:t xml:space="preserve"> </w:t>
      </w:r>
      <w:r>
        <w:rPr>
          <w:rStyle w:val="VerbatimChar"/>
        </w:rPr>
        <w:t xml:space="preserve">_api_cache_get_with_stale</w:t>
      </w:r>
      <w:r>
        <w:t xml:space="preserve"> </w:t>
      </w:r>
      <w:r>
        <w:t xml:space="preserve">for stale-while-error fallback.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JWT propagation is in the request path</w:t>
      </w:r>
      <w:r>
        <w:t xml:space="preserve">: Flask login populates</w:t>
      </w:r>
      <w:r>
        <w:t xml:space="preserve"> </w:t>
      </w:r>
      <w:r>
        <w:rPr>
          <w:rStyle w:val="VerbatimChar"/>
        </w:rPr>
        <w:t xml:space="preserve">g.auth_user_id</w:t>
      </w:r>
      <w:r>
        <w:t xml:space="preserve"> </w:t>
      </w:r>
      <w:r>
        <w:t xml:space="preserve">via auth middleware;</w:t>
      </w:r>
      <w:r>
        <w:t xml:space="preserve"> </w:t>
      </w:r>
      <w:r>
        <w:rPr>
          <w:rStyle w:val="VerbatimChar"/>
        </w:rPr>
        <w:t xml:space="preserve">api_client._auth_headers()</w:t>
      </w:r>
      <w:r>
        <w:t xml:space="preserve"> </w:t>
      </w:r>
      <w:r>
        <w:t xml:space="preserve">(api_client.py:183-197) creates a per-request HS256 JWT (</w:t>
      </w:r>
      <w:r>
        <w:rPr>
          <w:rStyle w:val="VerbatimChar"/>
        </w:rPr>
        <w:t xml:space="preserve">src.auth.api_jwt.create_api_token</w:t>
      </w:r>
      <w:r>
        <w:t xml:space="preserve">) and adds it to every backend call. Every backend service guards routes with</w:t>
      </w:r>
      <w:r>
        <w:t xml:space="preserve"> </w:t>
      </w:r>
      <w:r>
        <w:rPr>
          <w:rStyle w:val="VerbatimChar"/>
        </w:rPr>
        <w:t xml:space="preserve">verify_api_user</w:t>
      </w:r>
      <w:r>
        <w:t xml:space="preserve">/</w:t>
      </w:r>
      <w:r>
        <w:rPr>
          <w:rStyle w:val="VerbatimChar"/>
        </w:rPr>
        <w:t xml:space="preserve">verify_api_jwt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API_AUTH_REQUIRED=false</w:t>
      </w:r>
      <w:r>
        <w:t xml:space="preserve"> </w:t>
      </w:r>
      <w:r>
        <w:t xml:space="preserve">by default).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5 backend microservices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datacenter-api</w:t>
      </w:r>
      <w:r>
        <w:t xml:space="preserve">: 42 endpoints — biggest service; covers dashboards, DC details, compute (classic/hyperconv), SAN/Brocade, Storage (IBM), Network (Zabbix), Backup (NetBackup/Zerto/Veeam), S3 pools, Physical Inventory, SLA proxy, Sales Potential v1/v2.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customer-api</w:t>
      </w:r>
      <w:r>
        <w:t xml:space="preserve">: 17 endpoints — customer list/resources/S3 vaults, ITSM (summary/extremes/tickets), Sales (summary/items/efficiency/catalog-valuation/efficiency-by-category), CRM Aliases CRUD.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crm-engine</w:t>
      </w:r>
      <w:r>
        <w:t xml:space="preserve">: 28 endpoints — sellable-potential summary/by-panel/by-family, metric-tags + snapshots, Panels/Infra-Sources/Ratios/Unit-Conversions CRUD, Config (thresholds/price-overrides/variables/discovery-counts), Service-Mapping CRUD.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query-api</w:t>
      </w:r>
      <w:r>
        <w:t xml:space="preserve">: 1 endpoint + 38 registry keys — dynamic query runner used by Query Explorer.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admin-api</w:t>
      </w:r>
      <w:r>
        <w:t xml:space="preserve">: 31 endpoints — users, roles, permissions, role matrix, teams + members, LDAP search/test/configs/mappings, audit log.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stores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bulutlake</w:t>
      </w:r>
      <w:r>
        <w:t xml:space="preserve"> </w:t>
      </w:r>
      <w:r>
        <w:t xml:space="preserve">(Postgres — raw_</w:t>
      </w:r>
      <w:r>
        <w:rPr>
          <w:i/>
          <w:iCs/>
        </w:rPr>
        <w:t xml:space="preserve">/discovery_</w:t>
      </w:r>
      <w:r>
        <w:t xml:space="preserve"> </w:t>
      </w:r>
      <w:r>
        <w:t xml:space="preserve">metrics tables, the data warehouse),</w:t>
      </w:r>
      <w:r>
        <w:t xml:space="preserve"> </w:t>
      </w:r>
      <w:r>
        <w:rPr>
          <w:rStyle w:val="VerbatimChar"/>
        </w:rPr>
        <w:t xml:space="preserve">webui-db</w:t>
      </w:r>
      <w:r>
        <w:t xml:space="preserve"> </w:t>
      </w:r>
      <w:r>
        <w:t xml:space="preserve">(Postgres — gui_panel_</w:t>
      </w:r>
      <w:r>
        <w:rPr>
          <w:i/>
          <w:iCs/>
        </w:rPr>
        <w:t xml:space="preserve">, gui_crm_</w:t>
      </w:r>
      <w:r>
        <w:t xml:space="preserve">, discovery_netbox_inventory_*, gui_unit_conversion, gui_price_override, gui_calc_config, etc.),</w:t>
      </w:r>
      <w:r>
        <w:t xml:space="preserve"> </w:t>
      </w:r>
      <w:r>
        <w:rPr>
          <w:rStyle w:val="VerbatimChar"/>
        </w:rPr>
        <w:t xml:space="preserve">auth-db</w:t>
      </w:r>
      <w:r>
        <w:t xml:space="preserve"> </w:t>
      </w:r>
      <w:r>
        <w:t xml:space="preserve">(Postgres — users/roles/teams/ldap_config/audit_log), Redis (3 logical DBs: dc=0, customer=1, crm=2). All API services optionally degrade to in-memory TTLCache when Redis is unavailable.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Caching is a 4-tier stack</w:t>
      </w:r>
      <w:r>
        <w:t xml:space="preserve">: (1) Per-Gunicorn-worker in-memory LRU</w:t>
      </w:r>
      <w:r>
        <w:t xml:space="preserve"> </w:t>
      </w:r>
      <w:r>
        <w:rPr>
          <w:rStyle w:val="VerbatimChar"/>
        </w:rPr>
        <w:t xml:space="preserve">cache_service.OrderedDict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src/services/cache_service.py</w:t>
      </w:r>
      <w:r>
        <w:t xml:space="preserve">, MAX_SIZE=2048) — used by api_client; (2) the same store as a stale-while-error fallback in</w:t>
      </w:r>
      <w:r>
        <w:t xml:space="preserve"> </w:t>
      </w:r>
      <w:r>
        <w:rPr>
          <w:rStyle w:val="VerbatimChar"/>
        </w:rPr>
        <w:t xml:space="preserve">_api_cache_get_with_stale</w:t>
      </w:r>
      <w:r>
        <w:t xml:space="preserve">; (3) per-service Redis (TTL 900s dev / 3600s prod); (4) backend in-process TTLCache fallback. Cache key namespacing is consistent:</w:t>
      </w:r>
      <w:r>
        <w:t xml:space="preserve"> </w:t>
      </w:r>
      <w:r>
        <w:rPr>
          <w:rStyle w:val="VerbatimChar"/>
        </w:rPr>
        <w:t xml:space="preserve">api:&lt;area&gt;:&lt;encoded args&gt;</w:t>
      </w:r>
      <w:r>
        <w:t xml:space="preserve"> </w:t>
      </w:r>
      <w:r>
        <w:t xml:space="preserve">on the GUI side;</w:t>
      </w:r>
      <w:r>
        <w:t xml:space="preserve"> </w:t>
      </w:r>
      <w:r>
        <w:rPr>
          <w:rStyle w:val="VerbatimChar"/>
        </w:rPr>
        <w:t xml:space="preserve">customer_assets:*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customer_s3:*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cluster_arch_map:*</w:t>
      </w:r>
      <w:r>
        <w:t xml:space="preserve"> </w:t>
      </w:r>
      <w:r>
        <w:t xml:space="preserve">on customer-api;</w:t>
      </w:r>
      <w:r>
        <w:t xml:space="preserve"> </w:t>
      </w:r>
      <w:r>
        <w:rPr>
          <w:rStyle w:val="VerbatimChar"/>
        </w:rPr>
        <w:t xml:space="preserve">dc_details:*</w:t>
      </w:r>
      <w:r>
        <w:t xml:space="preserve"> </w:t>
      </w:r>
      <w:r>
        <w:t xml:space="preserve">on datacenter-api;</w:t>
      </w:r>
      <w:r>
        <w:t xml:space="preserve"> </w:t>
      </w:r>
      <w:r>
        <w:rPr>
          <w:rStyle w:val="VerbatimChar"/>
        </w:rPr>
        <w:t xml:space="preserve">sellable_snapshot:*</w:t>
      </w:r>
      <w:r>
        <w:t xml:space="preserve"> </w:t>
      </w:r>
      <w:r>
        <w:t xml:space="preserve">on crm-engine.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Non-click warming is extensive</w:t>
      </w:r>
      <w:r>
        <w:t xml:space="preserve">: 11 APScheduler jobs in</w:t>
      </w:r>
      <w:r>
        <w:t xml:space="preserve"> </w:t>
      </w:r>
      <w:r>
        <w:rPr>
          <w:rStyle w:val="VerbatimChar"/>
        </w:rPr>
        <w:t xml:space="preserve">src/services/scheduler_service.py</w:t>
      </w:r>
      <w:r>
        <w:t xml:space="preserve"> </w:t>
      </w:r>
      <w:r>
        <w:t xml:space="preserve">(start_scheduler) cover DB refresh (15m), SLA (60m), DC long-range warm (startup), customer warm (15m), AuraNotify (15m), S3 (30m), Backup (30m), Physical Inventory (30m). On</w:t>
      </w:r>
      <w:r>
        <w:t xml:space="preserve"> </w:t>
      </w:r>
      <w:r>
        <w:rPr>
          <w:rStyle w:val="VerbatimChar"/>
        </w:rPr>
        <w:t xml:space="preserve">/global-view</w:t>
      </w:r>
      <w:r>
        <w:t xml:space="preserve"> </w:t>
      </w:r>
      <w:r>
        <w:t xml:space="preserve">first render + a 900s interval,</w:t>
      </w:r>
      <w:r>
        <w:t xml:space="preserve"> </w:t>
      </w:r>
      <w:r>
        <w:rPr>
          <w:rStyle w:val="VerbatimChar"/>
        </w:rPr>
        <w:t xml:space="preserve">global_view_prefetch.trigger_background</w:t>
      </w:r>
      <w:r>
        <w:t xml:space="preserve"> </w:t>
      </w:r>
      <w:r>
        <w:t xml:space="preserve">runs a 2-phase warm (critical summary/details/racks/figures, then per-rack devices, max 12 workers). Pin clicks invoke</w:t>
      </w:r>
      <w:r>
        <w:t xml:space="preserve"> </w:t>
      </w:r>
      <w:r>
        <w:rPr>
          <w:rStyle w:val="VerbatimChar"/>
        </w:rPr>
        <w:t xml:space="preserve">warm_dc_priority(dc_id)</w:t>
      </w:r>
      <w:r>
        <w:t xml:space="preserve">; entering building/floor_map mode pauses Phase 2 fetches.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nontrivial intra-service coupling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crm-engine.sellable_service.compute_summary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dc_details:*</w:t>
      </w:r>
      <w:r>
        <w:t xml:space="preserve"> </w:t>
      </w:r>
      <w:r>
        <w:t xml:space="preserve">keys directly from datacenter-api’s Redis db=0, and falls back to HTTP</w:t>
      </w:r>
      <w:r>
        <w:t xml:space="preserve"> </w:t>
      </w:r>
      <w:r>
        <w:rPr>
          <w:rStyle w:val="VerbatimChar"/>
        </w:rPr>
        <w:t xml:space="preserve">GET /api/v1/datacenters/{dc}/compute/{kind}</w:t>
      </w:r>
      <w:r>
        <w:t xml:space="preserve"> </w:t>
      </w:r>
      <w:r>
        <w:t xml:space="preserve">when cluster CSV is provided. This is the only known cross-service HTTP call from a backend (apart from sla_service’s external SLA + AuraNotify HTTPs from datacenter-api).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AuraNotify is accessed two ways</w:t>
      </w:r>
      <w:r>
        <w:t xml:space="preserve">: directly from the GUI for</w:t>
      </w:r>
      <w:r>
        <w:t xml:space="preserve"> </w:t>
      </w:r>
      <w:r>
        <w:rPr>
          <w:i/>
          <w:iCs/>
        </w:rPr>
        <w:t xml:space="preserve">customer downtimes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src/services/auranotify_client.py</w:t>
      </w:r>
      <w:r>
        <w:t xml:space="preserve"> </w:t>
      </w:r>
      <w:r>
        <w:t xml:space="preserve">per-worker startup warm + scheduler 15m refresh + on-demand in customer-view)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via the datacenter-api</w:t>
      </w:r>
      <w:r>
        <w:t xml:space="preserve"> </w:t>
      </w:r>
      <w:r>
        <w:rPr>
          <w:rStyle w:val="VerbatimChar"/>
        </w:rPr>
        <w:t xml:space="preserve">/api/v1/sla/datacenter-services</w:t>
      </w:r>
      <w:r>
        <w:t xml:space="preserve"> </w:t>
      </w:r>
      <w:r>
        <w:t xml:space="preserve">proxy for</w:t>
      </w:r>
      <w:r>
        <w:t xml:space="preserve"> </w:t>
      </w:r>
      <w:r>
        <w:rPr>
          <w:i/>
          <w:iCs/>
        </w:rPr>
        <w:t xml:space="preserve">DC SLA group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sla_service.get_dc_services_availability</w:t>
      </w:r>
      <w:r>
        <w:t xml:space="preserve"> </w:t>
      </w:r>
      <w:r>
        <w:t xml:space="preserve">with Redis cache). This dual path was flagged in</w:t>
      </w:r>
      <w:r>
        <w:t xml:space="preserve"> </w:t>
      </w:r>
      <w:r>
        <w:rPr>
          <w:rStyle w:val="VerbatimChar"/>
        </w:rPr>
        <w:t xml:space="preserve">gaps_and_actions.md M-04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Settings PUT/DELETE flows invalidate the GUI LRU by prefix but not the backend Redis</w:t>
      </w:r>
      <w:r>
        <w:t xml:space="preserve">. The</w:t>
      </w:r>
      <w:r>
        <w:t xml:space="preserve"> </w:t>
      </w:r>
      <w:r>
        <w:t xml:space="preserve">“Settings → Cache Refresh”</w:t>
      </w:r>
      <w:r>
        <w:t xml:space="preserve"> </w:t>
      </w:r>
      <w:r>
        <w:t xml:space="preserve">button (FE-107) sends</w:t>
      </w:r>
      <w:r>
        <w:t xml:space="preserve"> </w:t>
      </w:r>
      <w:r>
        <w:rPr>
          <w:rStyle w:val="VerbatimChar"/>
        </w:rPr>
        <w:t xml:space="preserve">POST /api/v1/admin/cache/refresh</w:t>
      </w:r>
      <w:r>
        <w:t xml:space="preserve"> </w:t>
      </w:r>
      <w:r>
        <w:t xml:space="preserve">to datacenter-api + customer-api + crm-engine, and additionally clears the GUI’s</w:t>
      </w:r>
      <w:r>
        <w:t xml:space="preserve"> </w:t>
      </w:r>
      <w:r>
        <w:rPr>
          <w:rStyle w:val="VerbatimChar"/>
        </w:rPr>
        <w:t xml:space="preserve">_api_response_cache</w:t>
      </w:r>
      <w:r>
        <w:t xml:space="preserve">. This is the only path that clears backend Redis end-to-end. Without that click, edits to thresholds/ratios/etc. only take effect on the</w:t>
      </w:r>
      <w:r>
        <w:t xml:space="preserve"> </w:t>
      </w:r>
      <w:r>
        <w:rPr>
          <w:b/>
          <w:bCs/>
        </w:rPr>
        <w:t xml:space="preserve">next scheduler tick</w:t>
      </w:r>
      <w:r>
        <w:t xml:space="preserve"> </w:t>
      </w:r>
      <w:r>
        <w:t xml:space="preserve">for cached sellable values — see</w:t>
      </w:r>
      <w:r>
        <w:t xml:space="preserve"> </w:t>
      </w:r>
      <w:r>
        <w:rPr>
          <w:rStyle w:val="VerbatimChar"/>
        </w:rPr>
        <w:t xml:space="preserve">gaps_and_actions.md R-01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Static pages and split-brain callbacks</w:t>
      </w:r>
      <w:r>
        <w:t xml:space="preserve">:</w:t>
      </w:r>
      <w:r>
        <w:t xml:space="preserve"> </w:t>
      </w:r>
      <w:r>
        <w:rPr>
          <w:rStyle w:val="VerbatimChar"/>
        </w:rPr>
        <w:t xml:space="preserve">dc_detail.py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floor_map.py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region_drilldown.py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login.py</w:t>
      </w:r>
      <w:r>
        <w:t xml:space="preserve"> </w:t>
      </w:r>
      <w:r>
        <w:t xml:space="preserve">register zero local Dash callbacks.</w:t>
      </w:r>
      <w:r>
        <w:t xml:space="preserve"> </w:t>
      </w:r>
      <w:r>
        <w:rPr>
          <w:rStyle w:val="VerbatimChar"/>
        </w:rPr>
        <w:t xml:space="preserve">floor_map</w:t>
      </w:r>
      <w:r>
        <w:t xml:space="preserve">’s rack-click handler lives in</w:t>
      </w:r>
      <w:r>
        <w:t xml:space="preserve"> </w:t>
      </w:r>
      <w:r>
        <w:rPr>
          <w:rStyle w:val="VerbatimChar"/>
        </w:rPr>
        <w:t xml:space="preserve">app.py:1340</w:t>
      </w:r>
      <w:r>
        <w:t xml:space="preserve"> </w:t>
      </w:r>
      <w:r>
        <w:t xml:space="preserve">rather than in the page module — a refactor target. Also, two routes (</w:t>
      </w:r>
      <w:r>
        <w:rPr>
          <w:rStyle w:val="VerbatimChar"/>
        </w:rPr>
        <w:t xml:space="preserve">/dc-detail/{id}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/datacenter/{id}</w:t>
      </w:r>
      <w:r>
        <w:t xml:space="preserve">) exist for the same DC concept; reconcile.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Operational gaps to land before production hardening</w:t>
      </w:r>
      <w:r>
        <w:t xml:space="preserve">: (a) scheduler outbound HTTP has no JWT (R-02), (b)</w:t>
      </w:r>
      <w:r>
        <w:t xml:space="preserve"> </w:t>
      </w:r>
      <w:r>
        <w:rPr>
          <w:rStyle w:val="VerbatimChar"/>
        </w:rPr>
        <w:t xml:space="preserve">_client_crm</w:t>
      </w:r>
      <w:r>
        <w:t xml:space="preserve"> </w:t>
      </w:r>
      <w:r>
        <w:t xml:space="preserve">is a process-shared httpx.Client (R-08) racy under gthread workers, (c) Query Explorer Save/Add can write arbitrary SQL through</w:t>
      </w:r>
      <w:r>
        <w:t xml:space="preserve"> </w:t>
      </w:r>
      <w:r>
        <w:rPr>
          <w:rStyle w:val="VerbatimChar"/>
        </w:rPr>
        <w:t xml:space="preserve">query_overrides.json</w:t>
      </w:r>
      <w:r>
        <w:t xml:space="preserve"> </w:t>
      </w:r>
      <w:r>
        <w:t xml:space="preserve">without admin gating (R-07), (d) admin-api is not in</w:t>
      </w:r>
      <w:r>
        <w:t xml:space="preserve"> </w:t>
      </w:r>
      <w:r>
        <w:rPr>
          <w:rStyle w:val="VerbatimChar"/>
        </w:rPr>
        <w:t xml:space="preserve">k8s/ingress.yaml</w:t>
      </w:r>
      <w:r>
        <w:t xml:space="preserve"> </w:t>
      </w:r>
      <w:r>
        <w:t xml:space="preserve">(R-06), (e) per-worker AuraNotify cache is not shared across Gunicorn workers (R-03). See</w:t>
      </w:r>
      <w:r>
        <w:t xml:space="preserve"> </w:t>
      </w:r>
      <w:r>
        <w:rPr>
          <w:rStyle w:val="VerbatimChar"/>
        </w:rPr>
        <w:t xml:space="preserve">gaps_and_actions.md §3</w:t>
      </w:r>
      <w:r>
        <w:t xml:space="preserve"> </w:t>
      </w:r>
      <w:r>
        <w:t xml:space="preserve">and §5 for the ordered remediation plan (S-01..S-15).</w:t>
      </w:r>
    </w:p>
    <w:bookmarkEnd w:id="10"/>
    <w:bookmarkStart w:id="15" w:name="coverage-report"/>
    <w:p>
      <w:pPr>
        <w:pStyle w:val="Heading2"/>
      </w:pPr>
      <w:r>
        <w:t xml:space="preserve">Coverage Report</w:t>
      </w:r>
    </w:p>
    <w:bookmarkStart w:id="11" w:name="X2e431f766355106f5287453ffb0e1430f265379"/>
    <w:p>
      <w:pPr>
        <w:pStyle w:val="Heading3"/>
      </w:pPr>
      <w:r>
        <w:t xml:space="preserve">Frontend coverage (98 distinct UI actions + 8 background flows)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1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+ app.py global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dc_view (incl. dc_detail)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global_view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high (FE-105 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customer_view + customers_list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query_explorer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crm_sellable_potential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availability_annual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+ region_drilldown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medium/low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settings/dashboard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settings/iam/*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high (LDAP CRUD 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settings/integrations/* (CRM + AuraNotify)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high (overview/auranotify 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settings/crm_service_mapping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t xml:space="preserve">Pages with zero callbacks (verified): dc_detail, floor_map, region_drilldown, login.</w:t>
      </w:r>
    </w:p>
    <w:bookmarkEnd w:id="11"/>
    <w:bookmarkStart w:id="12" w:name="backend-coverage-per-service"/>
    <w:p>
      <w:pPr>
        <w:pStyle w:val="Heading3"/>
      </w:pPr>
      <w:r>
        <w:t xml:space="preserve">Backend coverage (per service)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640"/>
        <w:gridCol w:w="2160"/>
        <w:gridCol w:w="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datacenter-api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crm-engine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query-api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(+38 registry keys)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(+38)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AuraNotify (external)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inventoried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(client-only; no GUI wrapper for downtimes)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/auth/*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inferred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 confidence</w:t>
            </w:r>
          </w:p>
        </w:tc>
      </w:tr>
    </w:tbl>
    <w:bookmarkEnd w:id="12"/>
    <w:bookmarkStart w:id="13" w:name="end-to-end-status"/>
    <w:p>
      <w:pPr>
        <w:pStyle w:val="Heading3"/>
      </w:pPr>
      <w:r>
        <w:t xml:space="preserve">End-to-end status</w:t>
      </w:r>
    </w:p>
    <w:p>
      <w:pPr>
        <w:pStyle w:val="Compact"/>
        <w:numPr>
          <w:ilvl w:val="0"/>
          <w:numId w:val="1003"/>
        </w:numPr>
      </w:pPr>
      <w:r>
        <w:t xml:space="preserve">complete: 91</w:t>
      </w:r>
    </w:p>
    <w:p>
      <w:pPr>
        <w:pStyle w:val="Compact"/>
        <w:numPr>
          <w:ilvl w:val="0"/>
          <w:numId w:val="1003"/>
        </w:numPr>
      </w:pPr>
      <w:r>
        <w:t xml:space="preserve">partial: 8 (one productpricelevels-empty fallback, four assumption-tier wirings, three LDAP CRUD callback unknowns)</w:t>
      </w:r>
    </w:p>
    <w:p>
      <w:pPr>
        <w:pStyle w:val="Compact"/>
        <w:numPr>
          <w:ilvl w:val="0"/>
          <w:numId w:val="1003"/>
        </w:numPr>
      </w:pPr>
      <w:r>
        <w:t xml:space="preserve">missing: 1 (FE-156 settings/iam/auth_settings)</w:t>
      </w:r>
    </w:p>
    <w:bookmarkEnd w:id="13"/>
    <w:bookmarkStart w:id="14" w:name="confidence-summary"/>
    <w:p>
      <w:pPr>
        <w:pStyle w:val="Heading3"/>
      </w:pPr>
      <w:r>
        <w:t xml:space="preserve">Confidence summary</w:t>
      </w:r>
    </w:p>
    <w:p>
      <w:pPr>
        <w:pStyle w:val="Compact"/>
        <w:numPr>
          <w:ilvl w:val="0"/>
          <w:numId w:val="1004"/>
        </w:numPr>
      </w:pPr>
      <w:r>
        <w:t xml:space="preserve">frontend_flows.csv: 152 high / 8 medium / 5 low (across 165 rows)</w:t>
      </w:r>
    </w:p>
    <w:p>
      <w:pPr>
        <w:pStyle w:val="Compact"/>
        <w:numPr>
          <w:ilvl w:val="0"/>
          <w:numId w:val="1004"/>
        </w:numPr>
      </w:pPr>
      <w:r>
        <w:t xml:space="preserve">backend_lineage.csv: 122 high / 2 medium / 1 low (across 125 rows)</w:t>
      </w:r>
    </w:p>
    <w:bookmarkEnd w:id="14"/>
    <w:bookmarkEnd w:id="15"/>
    <w:bookmarkStart w:id="16" w:name="how-to-consume-this-audit"/>
    <w:p>
      <w:pPr>
        <w:pStyle w:val="Heading2"/>
      </w:pPr>
      <w:r>
        <w:t xml:space="preserve">How to consume this audit</w:t>
      </w:r>
    </w:p>
    <w:p>
      <w:pPr>
        <w:pStyle w:val="Compact"/>
        <w:numPr>
          <w:ilvl w:val="0"/>
          <w:numId w:val="1005"/>
        </w:numPr>
      </w:pPr>
      <w:r>
        <w:t xml:space="preserve">Engineers wanting</w:t>
      </w:r>
      <w:r>
        <w:t xml:space="preserve"> </w:t>
      </w:r>
      <w:r>
        <w:t xml:space="preserve">“what does this button call?”</w:t>
      </w:r>
      <w:r>
        <w:t xml:space="preserve"> </w:t>
      </w:r>
      <w:r>
        <w:t xml:space="preserve">— open</w:t>
      </w:r>
      <w:r>
        <w:t xml:space="preserve"> </w:t>
      </w:r>
      <w:r>
        <w:rPr>
          <w:rStyle w:val="VerbatimChar"/>
        </w:rPr>
        <w:t xml:space="preserve">frontend_flows.csv</w:t>
      </w:r>
      <w:r>
        <w:t xml:space="preserve"> </w:t>
      </w:r>
      <w:r>
        <w:t xml:space="preserve">and grep on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callback_fn</w:t>
      </w:r>
      <w:r>
        <w:t xml:space="preserve">/</w:t>
      </w:r>
      <w:r>
        <w:rPr>
          <w:rStyle w:val="VerbatimChar"/>
        </w:rPr>
        <w:t xml:space="preserve">ui_action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Backend / SRE wanting</w:t>
      </w:r>
      <w:r>
        <w:t xml:space="preserve"> </w:t>
      </w:r>
      <w:r>
        <w:t xml:space="preserve">“what powers this endpoint?”</w:t>
      </w:r>
      <w:r>
        <w:t xml:space="preserve"> </w:t>
      </w:r>
      <w:r>
        <w:t xml:space="preserve">— open</w:t>
      </w:r>
      <w:r>
        <w:t xml:space="preserve"> </w:t>
      </w:r>
      <w:r>
        <w:rPr>
          <w:rStyle w:val="VerbatimChar"/>
        </w:rPr>
        <w:t xml:space="preserve">backend_lineage.csv</w:t>
      </w:r>
      <w:r>
        <w:t xml:space="preserve"> </w:t>
      </w:r>
      <w:r>
        <w:t xml:space="preserve">and grep on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main_tables_or_registry_keys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Product / QA wanting a flow contract for a feature — open</w:t>
      </w:r>
      <w:r>
        <w:t xml:space="preserve"> </w:t>
      </w:r>
      <w:r>
        <w:rPr>
          <w:rStyle w:val="VerbatimChar"/>
        </w:rPr>
        <w:t xml:space="preserve">end_to_end_master.csv</w:t>
      </w:r>
      <w:r>
        <w:t xml:space="preserve"> </w:t>
      </w:r>
      <w:r>
        <w:t xml:space="preserve">and filter by</w:t>
      </w:r>
      <w:r>
        <w:t xml:space="preserve"> </w:t>
      </w:r>
      <w:r>
        <w:rPr>
          <w:rStyle w:val="VerbatimChar"/>
        </w:rPr>
        <w:t xml:space="preserve">ui_action</w:t>
      </w:r>
      <w:r>
        <w:t xml:space="preserve"> </w:t>
      </w:r>
      <w:r>
        <w:t xml:space="preserve">keyword. Status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means traceability from click to DB.</w:t>
      </w:r>
    </w:p>
    <w:p>
      <w:pPr>
        <w:pStyle w:val="Compact"/>
        <w:numPr>
          <w:ilvl w:val="0"/>
          <w:numId w:val="1005"/>
        </w:numPr>
      </w:pPr>
      <w:r>
        <w:t xml:space="preserve">Diagram author — follow</w:t>
      </w:r>
      <w:r>
        <w:t xml:space="preserve"> </w:t>
      </w:r>
      <w:r>
        <w:rPr>
          <w:rStyle w:val="VerbatimChar"/>
        </w:rPr>
        <w:t xml:space="preserve">drawio_blueprint.md</w:t>
      </w:r>
      <w:r>
        <w:t xml:space="preserve"> </w:t>
      </w:r>
      <w:r>
        <w:t xml:space="preserve">to build the Draw.io file. CSVs can be pasted directly via Draw.io’s</w:t>
      </w:r>
      <w:r>
        <w:t xml:space="preserve"> </w:t>
      </w:r>
      <w:r>
        <w:t xml:space="preserve">“Insert from CSV”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Engineering lead — read</w:t>
      </w:r>
      <w:r>
        <w:t xml:space="preserve"> </w:t>
      </w:r>
      <w:r>
        <w:rPr>
          <w:rStyle w:val="VerbatimChar"/>
        </w:rPr>
        <w:t xml:space="preserve">gaps_and_actions.md</w:t>
      </w:r>
      <w:r>
        <w:t xml:space="preserve"> </w:t>
      </w:r>
      <w:r>
        <w:t xml:space="preserve">for the ordered S-01..S-15 plan and the 15-flow validation checklist.</w:t>
      </w:r>
    </w:p>
    <w:bookmarkEnd w:id="16"/>
    <w:bookmarkStart w:id="17" w:name="limitations-assumptions"/>
    <w:p>
      <w:pPr>
        <w:pStyle w:val="Heading2"/>
      </w:pPr>
      <w:r>
        <w:t xml:space="preserve">Limitations &amp; assumptions</w:t>
      </w:r>
    </w:p>
    <w:p>
      <w:pPr>
        <w:pStyle w:val="Compact"/>
        <w:numPr>
          <w:ilvl w:val="0"/>
          <w:numId w:val="1006"/>
        </w:numPr>
      </w:pPr>
      <w:r>
        <w:t xml:space="preserve">This is a static-code-only audit. No tests were run. Runtime SLAs (Redis TTL effectiveness, scheduler timing under load) are not verified.</w:t>
      </w:r>
    </w:p>
    <w:p>
      <w:pPr>
        <w:pStyle w:val="Compact"/>
        <w:numPr>
          <w:ilvl w:val="0"/>
          <w:numId w:val="1006"/>
        </w:numPr>
      </w:pPr>
      <w:r>
        <w:t xml:space="preserve">LDAP save/mapping CRUD wiring on the Settings page (</w:t>
      </w:r>
      <w:r>
        <w:rPr>
          <w:rStyle w:val="VerbatimChar"/>
        </w:rPr>
        <w:t xml:space="preserve">src/pages/settings/integrations/ldap.py</w:t>
      </w:r>
      <w:r>
        <w:t xml:space="preserve"> </w:t>
      </w:r>
      <w:r>
        <w:t xml:space="preserve">body) was not deeply read; relevant rows marked partial with confidence=medium.</w:t>
      </w:r>
    </w:p>
    <w:p>
      <w:pPr>
        <w:pStyle w:val="Compact"/>
        <w:numPr>
          <w:ilvl w:val="0"/>
          <w:numId w:val="1006"/>
        </w:numPr>
      </w:pPr>
      <w:r>
        <w:t xml:space="preserve">AuraNotify settings page (</w:t>
      </w:r>
      <w:r>
        <w:rPr>
          <w:rStyle w:val="VerbatimChar"/>
        </w:rPr>
        <w:t xml:space="preserve">src/pages/settings/integrations/auranotify.py</w:t>
      </w:r>
      <w:r>
        <w:t xml:space="preserve">) was not deeply read.</w:t>
      </w:r>
    </w:p>
    <w:p>
      <w:pPr>
        <w:pStyle w:val="Compact"/>
        <w:numPr>
          <w:ilvl w:val="0"/>
          <w:numId w:val="1006"/>
        </w:numPr>
      </w:pPr>
      <w:r>
        <w:t xml:space="preserve">Inline SQL bodies in admin-api routers were not enumerated past the function level. Where the audit says</w:t>
      </w:r>
      <w:r>
        <w:t xml:space="preserve"> </w:t>
      </w:r>
      <w:r>
        <w:t xml:space="preserve">“inline SQL”</w:t>
      </w:r>
      <w:r>
        <w:t xml:space="preserve">, it means the query lives in the router/service file itself rather than a separate</w:t>
      </w:r>
      <w:r>
        <w:t xml:space="preserve"> </w:t>
      </w:r>
      <w:r>
        <w:rPr>
          <w:rStyle w:val="VerbatimChar"/>
        </w:rPr>
        <w:t xml:space="preserve">db/queries/</w:t>
      </w:r>
      <w:r>
        <w:t xml:space="preserve"> </w:t>
      </w:r>
      <w:r>
        <w:t xml:space="preserve">module.</w:t>
      </w:r>
    </w:p>
    <w:p>
      <w:pPr>
        <w:pStyle w:val="Compact"/>
        <w:numPr>
          <w:ilvl w:val="0"/>
          <w:numId w:val="1006"/>
        </w:numPr>
      </w:pPr>
      <w:r>
        <w:t xml:space="preserve">Flask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 </w:t>
      </w:r>
      <w:r>
        <w:t xml:space="preserve">route signatures inferred from app.py’s blueprint registration —</w:t>
      </w:r>
      <w:r>
        <w:t xml:space="preserve"> </w:t>
      </w:r>
      <w:r>
        <w:rPr>
          <w:rStyle w:val="VerbatimChar"/>
        </w:rPr>
        <w:t xml:space="preserve">src/auth/routes.py</w:t>
      </w:r>
      <w:r>
        <w:t xml:space="preserve"> </w:t>
      </w:r>
      <w:r>
        <w:t xml:space="preserve">was not read in this pass.</w:t>
      </w:r>
    </w:p>
    <w:p>
      <w:pPr>
        <w:pStyle w:val="FirstParagraph"/>
      </w:pPr>
      <w:r>
        <w:t xml:space="preserve">All other rows are based on direct file reads or grep-confirmed references.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2026-05-12T11:57:23Z</dcterms:created>
  <dcterms:modified xsi:type="dcterms:W3CDTF">2026-05-12T11:57:23Z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