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B65A3C"/>
          <w:spacing w:val="60"/>
          <w:sz w:val="22"/>
          <w:szCs w:val="22"/>
        </w:rPr>
        <w:t xml:space="preserve">DUOSIS</w:t>
      </w:r>
    </w:p>
    <w:p>
      <w:pPr>
        <w:spacing w:after="0" w:before="160"/>
      </w:pPr>
      <w:r>
        <w:rPr>
          <w:rFonts w:ascii="Cambria" w:cs="Cambria" w:eastAsia="Cambria" w:hAnsi="Cambria"/>
          <w:b/>
          <w:bCs/>
          <w:color w:val="1C1C1A"/>
          <w:sz w:val="64"/>
          <w:szCs w:val="64"/>
        </w:rPr>
        <w:t xml:space="preserve">Hermes — İş Kalemi Modülü</w:t>
      </w:r>
    </w:p>
    <w:p>
      <w:pPr>
        <w:spacing w:after="0" w:before="60"/>
      </w:pPr>
      <w:r>
        <w:rPr>
          <w:rFonts w:ascii="Cambria" w:cs="Cambria" w:eastAsia="Cambria" w:hAnsi="Cambria"/>
          <w:color w:val="9A6B1F"/>
          <w:sz w:val="34"/>
          <w:szCs w:val="34"/>
        </w:rPr>
        <w:t xml:space="preserve">Tasarım Dokümanı</w:t>
      </w:r>
    </w:p>
    <w:p>
      <w:pPr>
        <w:spacing w:after="0" w:before="220"/>
      </w:pPr>
      <w:r>
        <w:rPr>
          <w:rFonts w:ascii="Calibri" w:cs="Calibri" w:eastAsia="Calibri" w:hAnsi="Calibri"/>
          <w:color w:val="5F5A52"/>
          <w:sz w:val="22"/>
          <w:szCs w:val="22"/>
        </w:rPr>
        <w:t xml:space="preserve">Amaç, iş gerekçesi, hedef model, kapsam sınırları ve yol haritası</w:t>
      </w:r>
    </w:p>
    <w:p>
      <w:pPr>
        <w:pBdr>
          <w:top w:val="single" w:color="D8D3CA" w:sz="6" w:space="14"/>
        </w:pBdr>
        <w:spacing w:after="0" w:before="320"/>
      </w:pPr>
      <w:r>
        <w:rPr>
          <w:rFonts w:ascii="Calibri" w:cs="Calibri" w:eastAsia="Calibri" w:hAnsi="Calibri"/>
          <w:color w:val="5F5A52"/>
          <w:sz w:val="19"/>
          <w:szCs w:val="19"/>
        </w:rPr>
        <w:t xml:space="preserve">9 Eylül 2026 · v1 · Karar bekliyor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1. Bu doküman ne için var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Hermes'in "task management" olarak anılan modülü yeniden tasarlanıyor. Bu doküman </w:t>
      </w:r>
      <w:r>
        <w:rPr>
          <w:b/>
          <w:bCs/>
          <w:color w:val="1C1C1A"/>
          <w:sz w:val="20"/>
          <w:szCs w:val="20"/>
        </w:rPr>
        <w:t xml:space="preserve">neden</w:t>
      </w:r>
      <w:r>
        <w:rPr>
          <w:color w:val="1C1C1A"/>
          <w:sz w:val="20"/>
          <w:szCs w:val="20"/>
        </w:rPr>
        <w:t xml:space="preserve"> yeniden tasarlandığını, </w:t>
      </w:r>
      <w:r>
        <w:rPr>
          <w:b/>
          <w:bCs/>
          <w:color w:val="1C1C1A"/>
          <w:sz w:val="20"/>
          <w:szCs w:val="20"/>
        </w:rPr>
        <w:t xml:space="preserve">neye</w:t>
      </w:r>
      <w:r>
        <w:rPr>
          <w:color w:val="1C1C1A"/>
          <w:sz w:val="20"/>
          <w:szCs w:val="20"/>
        </w:rPr>
        <w:t xml:space="preserve"> dönüştüğünü ve </w:t>
      </w:r>
      <w:r>
        <w:rPr>
          <w:b/>
          <w:bCs/>
          <w:color w:val="1C1C1A"/>
          <w:sz w:val="20"/>
          <w:szCs w:val="20"/>
        </w:rPr>
        <w:t xml:space="preserve">hangi sırayla</w:t>
      </w:r>
      <w:r>
        <w:rPr>
          <w:color w:val="1C1C1A"/>
          <w:sz w:val="20"/>
          <w:szCs w:val="20"/>
        </w:rPr>
        <w:t xml:space="preserve"> ilerleneceğini iş ve teknik tarafta birlikte anlatır. Şema ayrıntıları ayrı dokümanda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02-sema.md</w:t>
      </w:r>
      <w:r>
        <w:rPr>
          <w:color w:val="1C1C1A"/>
          <w:sz w:val="20"/>
          <w:szCs w:val="20"/>
        </w:rPr>
        <w:t xml:space="preserve">); konumlandırma tartışması ve teşhis kanıtları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00-konumlandirma-ve-hedef-model.md</w:t>
      </w:r>
      <w:r>
        <w:rPr>
          <w:color w:val="1C1C1A"/>
          <w:sz w:val="20"/>
          <w:szCs w:val="20"/>
        </w:rPr>
        <w:t xml:space="preserve"> dosyasında.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Hedef okur: ürün kararını verecek yönetim ve işi yapacak geliştirici. İkisi de aynı belgeyi okur; bölümler iş → teknik sırasıyla ilerler.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2. İş tarafı — neden dokunuyoruz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2.1 Ürün kimliği ne söylüyor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Hermes'in kimliği strateji dokümanlarında sabitlendi: </w:t>
      </w:r>
      <w:r>
        <w:rPr>
          <w:b/>
          <w:bCs/>
          <w:color w:val="1C1C1A"/>
          <w:sz w:val="20"/>
          <w:szCs w:val="20"/>
        </w:rPr>
        <w:t xml:space="preserve">faturalandırılabilir iş yönetimi</w:t>
      </w:r>
      <w:r>
        <w:rPr>
          <w:color w:val="1C1C1A"/>
          <w:sz w:val="20"/>
          <w:szCs w:val="20"/>
        </w:rPr>
        <w:t xml:space="preserve">, vaadi </w:t>
      </w:r>
      <w:r>
        <w:rPr>
          <w:b/>
          <w:bCs/>
          <w:color w:val="1C1C1A"/>
          <w:sz w:val="20"/>
          <w:szCs w:val="20"/>
        </w:rPr>
        <w:t xml:space="preserve">"saatten faturaya"</w:t>
      </w:r>
      <w:r>
        <w:rPr>
          <w:color w:val="1C1C1A"/>
          <w:sz w:val="20"/>
          <w:szCs w:val="20"/>
        </w:rPr>
        <w:t xml:space="preserve">. Ürün açıkça proje yönetimi ya da görev yönetimi olarak konumlanmıyor. Bunun modül için anlamı nettir: buradaki nesnenin işi Jira'ya benzemek değil, </w:t>
      </w:r>
      <w:r>
        <w:rPr>
          <w:b/>
          <w:bCs/>
          <w:color w:val="1C1C1A"/>
          <w:sz w:val="20"/>
          <w:szCs w:val="20"/>
        </w:rPr>
        <w:t xml:space="preserve">saatin bağlanacağı ve faturanın türeyeceği iş kalemini tutmaktır.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Rakip analizi, "iş takibi ve zaman aynı üründe" olmasını Hermes'in bugün gerçek olan üç üstünlüğünden biri sayıyor — Harvest ve Toggl bunu yapmıyor, müşteriler o yüzden Jira/Asana ile birlikte kullanmak zorunda kalıyor. Yani modül bir yük değil, </w:t>
      </w:r>
      <w:r>
        <w:rPr>
          <w:b/>
          <w:bCs/>
          <w:color w:val="1C1C1A"/>
          <w:sz w:val="20"/>
          <w:szCs w:val="20"/>
        </w:rPr>
        <w:t xml:space="preserve">satış argümanı</w:t>
      </w:r>
      <w:r>
        <w:rPr>
          <w:color w:val="1C1C1A"/>
          <w:sz w:val="20"/>
          <w:szCs w:val="20"/>
        </w:rPr>
        <w:t xml:space="preserve">. Sorun argümanda değil, argümanı taşıyan şemada.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2.2 Bugün ne bozuk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Modül bugün bir iş kalemi tutmuyor; </w:t>
      </w:r>
      <w:r>
        <w:rPr>
          <w:b/>
          <w:bCs/>
          <w:color w:val="1C1C1A"/>
          <w:sz w:val="20"/>
          <w:szCs w:val="20"/>
        </w:rPr>
        <w:t xml:space="preserve">bir delegasyon kaydı</w:t>
      </w:r>
      <w:r>
        <w:rPr>
          <w:color w:val="1C1C1A"/>
          <w:sz w:val="20"/>
          <w:szCs w:val="20"/>
        </w:rPr>
        <w:t xml:space="preserve"> tutuyor. Veritabanında bir task, atayan ile atanan arasındaki bir ilişki olarak var oluyor ve bu üç somut soruna yol açıyor: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Aynı iş birden çok kişiye verildiğinde iş çoğalıyor.</w:t>
      </w:r>
      <w:r>
        <w:rPr>
          <w:color w:val="1C1C1A"/>
          <w:sz w:val="20"/>
          <w:szCs w:val="20"/>
        </w:rPr>
        <w:t xml:space="preserve"> Üç kişiye verilen tek iş, veritabanında üç ayrı kayıt oluyor. Tek işmiş gibi görünmesi tarayıcıda sonradan hesaplanıyor. Rapor, sayım ve sayfalama bu yüzden güvenilir değil.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Proje ekibi projenin işini göremiyor.</w:t>
      </w:r>
      <w:r>
        <w:rPr>
          <w:color w:val="1C1C1A"/>
          <w:sz w:val="20"/>
          <w:szCs w:val="20"/>
        </w:rPr>
        <w:t xml:space="preserve"> Görünürlük "sana atandı mı / sen mi atadın" kuralına bağlı. Dolayısıyla proje bir kapsayıcı değil, sadece bir etiket. Bir iş devredildiğinde önceki kişi tüm bağlamı kaybediyor.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Paranın tutunacağı yer yok.</w:t>
      </w:r>
      <w:r>
        <w:rPr>
          <w:color w:val="1C1C1A"/>
          <w:sz w:val="20"/>
          <w:szCs w:val="20"/>
        </w:rPr>
        <w:t xml:space="preserve"> Öncelik sırasındaki ilk madde para katmanı (ücret oranı → tutar → kârlılık). Bunlar iş kalemine bağlanacak; bugünkü iş kalemi ise bir ilişki kaydı ve kopyalar hâlinde.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Buna dördüncü bir sorun eşlik ediyor: üründe birbirinden habersiz </w:t>
      </w:r>
      <w:r>
        <w:rPr>
          <w:b/>
          <w:bCs/>
          <w:color w:val="1C1C1A"/>
          <w:sz w:val="20"/>
          <w:szCs w:val="20"/>
        </w:rPr>
        <w:t xml:space="preserve">dört ayrı iş nesnesi</w:t>
      </w:r>
      <w:r>
        <w:rPr>
          <w:color w:val="1C1C1A"/>
          <w:sz w:val="20"/>
          <w:szCs w:val="20"/>
        </w:rPr>
        <w:t xml:space="preserve"> var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issues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tickets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plan_times</w:t>
      </w:r>
      <w:r>
        <w:rPr>
          <w:color w:val="1C1C1A"/>
          <w:sz w:val="20"/>
          <w:szCs w:val="20"/>
        </w:rPr>
        <w:t xml:space="preserve">) ve strateji dokümanının "tek omurga" dediği zincir — talep → faturalandırılabilir iş → fatura — kodda hiç kurulu değil.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2.3 Dokunmazsak ne olur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Para katmanı iki kez yazılır.</w:t>
      </w:r>
      <w:r>
        <w:rPr>
          <w:color w:val="1C1C1A"/>
          <w:sz w:val="20"/>
          <w:szCs w:val="20"/>
        </w:rPr>
        <w:t xml:space="preserve"> Kârlılık ve verimlilik ekranları iş kalemine bağlanacak; bozuk nesnenin üstüne kurulursa şema düzeltildiğinde ikinci kez yazılır.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MSP nişi açılamaz.</w:t>
      </w:r>
      <w:r>
        <w:rPr>
          <w:color w:val="1C1C1A"/>
          <w:sz w:val="20"/>
          <w:szCs w:val="20"/>
        </w:rPr>
        <w:t xml:space="preserve"> MSP dilinde ana nesne "iş emri / SLA'lı ticket". Aynı nesnenin iki dilde görünebilmesi, durum akışının konfigüre edilebilir olmasını gerektiriyor; bugünkü sabit durum listesi buna izin vermiyor.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Dış pilot riskli kalır.</w:t>
      </w:r>
      <w:r>
        <w:rPr>
          <w:color w:val="1C1C1A"/>
          <w:sz w:val="20"/>
          <w:szCs w:val="20"/>
        </w:rPr>
        <w:t xml:space="preserve"> Ürün dış pilota hazır durumda; en çok kullanılan ekranın altındaki model ise ölçeklenme varsayımı bozuk (liste ucu sayfalamaya geçtiği gün gruplama geçersizleşiyor).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2.4 Ne kazanıyoruz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3"/>
        <w:gridCol w:w="5753"/>
      </w:tblGrid>
      <w:tr>
        <w:trPr>
          <w:tblHeader/>
        </w:trPr>
        <w:tc>
          <w:tcPr>
            <w:tcW w:type="dxa" w:w="32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Kazanım</w:t>
            </w:r>
          </w:p>
        </w:tc>
        <w:tc>
          <w:tcPr>
            <w:tcW w:type="dxa" w:w="57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 karşılığı</w:t>
            </w:r>
          </w:p>
        </w:tc>
      </w:tr>
      <w:tr>
        <w:trPr>
          <w:tblHeader w:val="false"/>
        </w:trPr>
        <w:tc>
          <w:tcPr>
            <w:tcW w:type="dxa" w:w="32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 gerçek bir nesne olur</w:t>
            </w:r>
          </w:p>
        </w:tc>
        <w:tc>
          <w:tcPr>
            <w:tcW w:type="dxa" w:w="57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atama tek iş olarak görünür; rapor ve sayım güvenilir hale gelir</w:t>
            </w:r>
          </w:p>
        </w:tc>
      </w:tr>
      <w:tr>
        <w:trPr>
          <w:tblHeader w:val="false"/>
        </w:trPr>
        <w:tc>
          <w:tcPr>
            <w:tcW w:type="dxa" w:w="32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Görünürlük projeye bağlanır</w:t>
            </w:r>
          </w:p>
        </w:tc>
        <w:tc>
          <w:tcPr>
            <w:tcW w:type="dxa" w:w="57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Ekip projenin işini görür; devir bağlam kaybettirmez</w:t>
            </w:r>
          </w:p>
        </w:tc>
      </w:tr>
      <w:tr>
        <w:trPr>
          <w:tblHeader w:val="false"/>
        </w:trPr>
        <w:tc>
          <w:tcPr>
            <w:tcW w:type="dxa" w:w="32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 akışı konfigüre edilebilir</w:t>
            </w:r>
          </w:p>
        </w:tc>
        <w:tc>
          <w:tcPr>
            <w:tcW w:type="dxa" w:w="57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kod tabanı üstünde MSP modu / Ajans modu mümkün olur</w:t>
            </w:r>
          </w:p>
        </w:tc>
      </w:tr>
      <w:tr>
        <w:trPr>
          <w:tblHeader w:val="false"/>
        </w:trPr>
        <w:tc>
          <w:tcPr>
            <w:tcW w:type="dxa" w:w="32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Para alanları iş kalemine iner</w:t>
            </w:r>
          </w:p>
        </w:tc>
        <w:tc>
          <w:tcPr>
            <w:tcW w:type="dxa" w:w="57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Kârlılık ve verimlilik ekranı tek kaynaktan beslenir</w:t>
            </w:r>
          </w:p>
        </w:tc>
      </w:tr>
      <w:tr>
        <w:trPr>
          <w:tblHeader w:val="false"/>
        </w:trPr>
        <w:tc>
          <w:tcPr>
            <w:tcW w:type="dxa" w:w="32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Talep → iş → saat zinciri kurulur</w:t>
            </w:r>
          </w:p>
        </w:tc>
        <w:tc>
          <w:tcPr>
            <w:tcW w:type="dxa" w:w="57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Ticket'tan doğan iş izlenebilir; "yapılan ama faturalanmayan iş" görünür olur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3. Ürün yönü — neye dönüşüyor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3.1 Tek cümle</w:t>
      </w:r>
    </w:p>
    <w:p>
      <w:pPr>
        <w:pBdr>
          <w:left w:val="single" w:color="9A6B1F" w:sz="12" w:space="12"/>
        </w:pBdr>
        <w:spacing w:after="130" w:before="130"/>
        <w:ind w:left="280"/>
      </w:pPr>
      <w:r>
        <w:rPr>
          <w:i/>
          <w:iCs/>
          <w:color w:val="5F5A52"/>
          <w:sz w:val="20"/>
          <w:szCs w:val="20"/>
        </w:rPr>
        <w:t xml:space="preserve">İş kalemi bir nesnedir. Bir projeye aittir. Kişiler ona atanır. Bir talepten doğabilir. Saat ona yazılır, fatura ondan türer.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3.2 Kavram haritası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7"/>
        <w:gridCol w:w="3455"/>
        <w:gridCol w:w="3734"/>
      </w:tblGrid>
      <w:tr>
        <w:trPr>
          <w:tblHeader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Kavram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Bugün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Atayan–atanan ilişkisi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Projeye ait bağımsız nesne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atama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Aynı işin kopyaları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iş, çok katılımcı satırı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Sahiplik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Zorunlu tek atanan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sorumlu (owner), boş olabilir → triage kuyruğu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Görünürlük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Kişi grafiği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üyeliği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Atama hiyerarşisi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Görünürlüğün kaynağı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Yönlendirme politikası (kim kime iş verebilir)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Sabit liste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Tenant'ın tanımladığı akış, sabit dört kategoriye eşlenir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Hiyerarşi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Müşteri/proje/alt-proje klasörü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kaleminin kendi ana–alt ilişkisi (iki seviye)</w:t>
            </w:r>
          </w:p>
        </w:tc>
      </w:tr>
      <w:tr>
        <w:trPr>
          <w:tblHeader w:val="false"/>
        </w:trPr>
        <w:tc>
          <w:tcPr>
            <w:tcW w:type="dxa" w:w="18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Ekran durumu</w:t>
            </w:r>
          </w:p>
        </w:tc>
        <w:tc>
          <w:tcPr>
            <w:tcW w:type="dxa" w:w="3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Beş bağımsız filtre ekseni</w:t>
            </w:r>
          </w:p>
        </w:tc>
        <w:tc>
          <w:tcPr>
            <w:tcW w:type="dxa" w:w="373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Kaydedilebilir ve paylaşılabilir görünüm (view)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3.3 Profil katmanı — iki niş, tek ürün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Strateji kararı tek kod tabanı ve iki konumlandırmadır. Modülde bunun karşılığı ince bir dil ve varsayılan katmanıdır; motor aynıdır.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2576"/>
        <w:gridCol w:w="4069"/>
      </w:tblGrid>
      <w:tr>
        <w:trPr>
          <w:tblHeader/>
        </w:trPr>
        <w:tc>
          <w:tcPr>
            <w:tcW w:type="dxa" w:w="23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Kavram</w:t>
            </w:r>
          </w:p>
        </w:tc>
        <w:tc>
          <w:tcPr>
            <w:tcW w:type="dxa" w:w="25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MSP modu</w:t>
            </w:r>
          </w:p>
        </w:tc>
        <w:tc>
          <w:tcPr>
            <w:tcW w:type="dxa" w:w="4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Ajans modu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Nesnenin adı</w:t>
            </w:r>
          </w:p>
        </w:tc>
        <w:tc>
          <w:tcPr>
            <w:tcW w:type="dxa" w:w="25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emri / ticket</w:t>
            </w:r>
          </w:p>
        </w:tc>
        <w:tc>
          <w:tcPr>
            <w:tcW w:type="dxa" w:w="4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 / görev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Varsayılan görünüm</w:t>
            </w:r>
          </w:p>
        </w:tc>
        <w:tc>
          <w:tcPr>
            <w:tcW w:type="dxa" w:w="25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Kuyruk ve ilk yanıt süresi</w:t>
            </w:r>
          </w:p>
        </w:tc>
        <w:tc>
          <w:tcPr>
            <w:tcW w:type="dxa" w:w="4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panosu ve termin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Detayda öne çıkan</w:t>
            </w:r>
          </w:p>
        </w:tc>
        <w:tc>
          <w:tcPr>
            <w:tcW w:type="dxa" w:w="25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Talep kaynağı, çözüm</w:t>
            </w:r>
          </w:p>
        </w:tc>
        <w:tc>
          <w:tcPr>
            <w:tcW w:type="dxa" w:w="4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 saat, tutar</w:t>
            </w:r>
          </w:p>
        </w:tc>
      </w:tr>
      <w:tr>
        <w:trPr>
          <w:tblHeader w:val="false"/>
        </w:trPr>
        <w:tc>
          <w:tcPr>
            <w:tcW w:type="dxa" w:w="23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Ana metrik</w:t>
            </w:r>
          </w:p>
        </w:tc>
        <w:tc>
          <w:tcPr>
            <w:tcW w:type="dxa" w:w="25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Çözüm süresi</w:t>
            </w:r>
          </w:p>
        </w:tc>
        <w:tc>
          <w:tcPr>
            <w:tcW w:type="dxa" w:w="4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Verimlilik ve kârlılık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Bu katmanın çalışabilmesi, durum akışının veriden gelmesine bağlıdır. Sabit durum listesiyle profil anahtarı kurulamaz — mimari karar doğrudan şemaya dayanıyor.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3.4 Arayüz yönü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Tek omurga: </w:t>
      </w:r>
      <w:r>
        <w:rPr>
          <w:b/>
          <w:bCs/>
          <w:color w:val="1C1C1A"/>
          <w:sz w:val="20"/>
          <w:szCs w:val="20"/>
        </w:rPr>
        <w:t xml:space="preserve">proje çalışma alanı.</w:t>
      </w:r>
      <w:r>
        <w:rPr>
          <w:color w:val="1C1C1A"/>
          <w:sz w:val="20"/>
          <w:szCs w:val="20"/>
        </w:rPr>
        <w:t xml:space="preserve"> Sol kolonda gezinme ve kayıtlı görünümler, ortada seçili görünüm, sağda iş kalemi detayı.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Ekranın durumu = seçili görünüm.</w:t>
      </w:r>
      <w:r>
        <w:rPr>
          <w:color w:val="1C1C1A"/>
          <w:sz w:val="20"/>
          <w:szCs w:val="20"/>
        </w:rPr>
        <w:t xml:space="preserve"> Filtre değiştiğinde "yeni görünüm olarak kaydet" önerilir. Görünüm linklenebilir ve paylaşılabilir.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Bugünkü beş eksen (yerleşim × kapsam × tip × zaman aralığı × hızlı filtre) tek bir görünüm kavramına toplanır.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C1C1A"/>
          <w:sz w:val="20"/>
          <w:szCs w:val="20"/>
        </w:rPr>
        <w:t xml:space="preserve">Triage</w:t>
      </w:r>
      <w:r>
        <w:rPr>
          <w:color w:val="1C1C1A"/>
          <w:sz w:val="20"/>
          <w:szCs w:val="20"/>
        </w:rPr>
        <w:t xml:space="preserve"> kalıcı bir kuyruktur: sahibi olmayan işler burada birikir, kaybolmaz.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İş kalemi detayı bir paneldir ama kendi adresiyle açılabilir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/work/PROJ-142</w:t>
      </w:r>
      <w:r>
        <w:rPr>
          <w:color w:val="1C1C1A"/>
          <w:sz w:val="20"/>
          <w:szCs w:val="20"/>
        </w:rPr>
        <w:t xml:space="preserve">) — bugün bir işe link verilemiyor.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Detayda para bloğu birinci sınıftır: tahmin, girilen saat, faturalandırılabilir saat, tutar, kalan.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4. Kapsam — nereye kadar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Vizyon dokümanı "gantt, bağımlılık, sprint" üçünü tek maddede reddediyor. Bunlar maliyet ve risk olarak farklı şeyler; kademelendirildi.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3"/>
        <w:gridCol w:w="2481"/>
        <w:gridCol w:w="4092"/>
      </w:tblGrid>
      <w:tr>
        <w:trPr>
          <w:tblHeader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Yetenek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Karar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Bağımlılık bağı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 — görsel ve filtrelenebilir, otomatik tarih etkisi yok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 maliyeti sıfır; iki nişte de gerçek ihtiyaç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Read-only zaman şeridi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 — arayüz fazında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Tarih çizmek gantt değildir; sürükle-bırak yoksa motor da yok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İnteraktif gantt, kritik yol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Karşılaştırma ekseni Monday/MS Project'e kayar; o eksende parite yok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Sprint, velocity, story point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İkinci bir zaman para birimi yaratır; saat–tutar hikâyesini bulanıklaştırır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Kaynak planlama, forecasting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Kapsam ve kapasite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Custom field builder, otomasyon motoru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Konfigürasyon yüzeyini patlatır</w:t>
            </w:r>
          </w:p>
        </w:tc>
      </w:tr>
      <w:tr>
        <w:trPr>
          <w:tblHeader w:val="false"/>
        </w:trPr>
        <w:tc>
          <w:tcPr>
            <w:tcW w:type="dxa" w:w="245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Wiki</w:t>
            </w:r>
          </w:p>
        </w:tc>
        <w:tc>
          <w:tcPr>
            <w:tcW w:type="dxa" w:w="24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Ayrı iş</w:t>
            </w:r>
          </w:p>
        </w:tc>
        <w:tc>
          <w:tcPr>
            <w:tcW w:type="dxa" w:w="4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PRD v2 kapsamı; bu rework'ün parçası değil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Bağımlılığın sınırı yazılıdır:</w:t>
      </w:r>
      <w:r>
        <w:rPr>
          <w:color w:val="1C1C1A"/>
          <w:sz w:val="20"/>
          <w:szCs w:val="20"/>
        </w:rPr>
        <w:t xml:space="preserve"> bağ görsel ve filtrelenebilir; hiçbir otomatik tarih kaydırması yok. Bu sınır konmazsa iki günlük iş, gantt motorunu (lag/lead, kısıt tipleri, çalışma takvimi) çağırır.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Kapı açık kalıyor:</w:t>
      </w:r>
      <w:r>
        <w:rPr>
          <w:color w:val="1C1C1A"/>
          <w:sz w:val="20"/>
          <w:szCs w:val="20"/>
        </w:rPr>
        <w:t xml:space="preserve"> bağ tablosunun tip alanı genel,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start_date</w:t>
      </w:r>
      <w:r>
        <w:rPr>
          <w:color w:val="1C1C1A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due_date</w:t>
      </w:r>
      <w:r>
        <w:rPr>
          <w:color w:val="1C1C1A"/>
          <w:sz w:val="20"/>
          <w:szCs w:val="20"/>
        </w:rPr>
        <w:t xml:space="preserve"> ikisi de duruyor, ana–alt ilişkisi var. Yarın zaman şeridi ya da bağımlılık görselleştirmesi istenirse </w:t>
      </w:r>
      <w:r>
        <w:rPr>
          <w:b/>
          <w:bCs/>
          <w:color w:val="1C1C1A"/>
          <w:sz w:val="20"/>
          <w:szCs w:val="20"/>
        </w:rPr>
        <w:t xml:space="preserve">migration gerekmez</w:t>
      </w:r>
      <w:r>
        <w:rPr>
          <w:color w:val="1C1C1A"/>
          <w:sz w:val="20"/>
          <w:szCs w:val="20"/>
        </w:rPr>
        <w:t xml:space="preserve">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5. Sıralama — ne zaman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Strateji dokümanının öncelik sırası: </w:t>
      </w:r>
      <w:r>
        <w:rPr>
          <w:b/>
          <w:bCs/>
          <w:color w:val="1C1C1A"/>
          <w:sz w:val="20"/>
          <w:szCs w:val="20"/>
        </w:rPr>
        <w:t xml:space="preserve">1) para katmanı, 2) e-fatura, 3) timer, 4) verimlilik/kârlılık ekranı, 5) çok-kiracılık</w:t>
      </w:r>
      <w:r>
        <w:rPr>
          <w:color w:val="1C1C1A"/>
          <w:sz w:val="20"/>
          <w:szCs w:val="20"/>
        </w:rPr>
        <w:t xml:space="preserve"> (sonuncusu tamamlandı). Bu rework o listede yok ve kendini listenin önüne koyamaz.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Çözüm rework'ü ikiye bölmektir: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1"/>
        <w:gridCol w:w="2641"/>
        <w:gridCol w:w="1910"/>
        <w:gridCol w:w="3464"/>
      </w:tblGrid>
      <w:tr>
        <w:trPr>
          <w:tblHeader/>
        </w:trPr>
        <w:tc>
          <w:tcPr>
            <w:tcW w:type="dxa" w:w="10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/>
            </w:r>
          </w:p>
        </w:tc>
        <w:tc>
          <w:tcPr>
            <w:tcW w:type="dxa" w:w="26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</w:t>
            </w:r>
          </w:p>
        </w:tc>
        <w:tc>
          <w:tcPr>
            <w:tcW w:type="dxa" w:w="19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 zaman</w:t>
            </w:r>
          </w:p>
        </w:tc>
        <w:tc>
          <w:tcPr>
            <w:tcW w:type="dxa" w:w="34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Neden</w:t>
            </w:r>
          </w:p>
        </w:tc>
      </w:tr>
      <w:tr>
        <w:trPr>
          <w:tblHeader w:val="false"/>
        </w:trPr>
        <w:tc>
          <w:tcPr>
            <w:tcW w:type="dxa" w:w="10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A — Şema</w:t>
            </w:r>
          </w:p>
        </w:tc>
        <w:tc>
          <w:tcPr>
            <w:tcW w:type="dxa" w:w="26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Nesne, katılımcı, durum, yönlendirme, talep bağı</w:t>
            </w:r>
          </w:p>
        </w:tc>
        <w:tc>
          <w:tcPr>
            <w:tcW w:type="dxa" w:w="19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Para katmanından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önce</w:t>
            </w:r>
          </w:p>
        </w:tc>
        <w:tc>
          <w:tcPr>
            <w:tcW w:type="dxa" w:w="34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Paranın tutunacağı nesneyi kurar; bir kez yazılır</w:t>
            </w:r>
          </w:p>
        </w:tc>
      </w:tr>
      <w:tr>
        <w:trPr>
          <w:tblHeader w:val="false"/>
        </w:trPr>
        <w:tc>
          <w:tcPr>
            <w:tcW w:type="dxa" w:w="101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B — Arayüz</w:t>
            </w:r>
          </w:p>
        </w:tc>
        <w:tc>
          <w:tcPr>
            <w:tcW w:type="dxa" w:w="26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Çalışma alanı, kayıtlı görünümler, profil katmanı</w:t>
            </w:r>
          </w:p>
        </w:tc>
        <w:tc>
          <w:tcPr>
            <w:tcW w:type="dxa" w:w="19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Para ve e-fatura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sonrası</w:t>
            </w:r>
          </w:p>
        </w:tc>
        <w:tc>
          <w:tcPr>
            <w:tcW w:type="dxa" w:w="34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 ekran zaten tutar/kârlılık/timer için yeniden çizilecek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Özet: </w:t>
      </w:r>
      <w:r>
        <w:rPr>
          <w:b/>
          <w:bCs/>
          <w:color w:val="1C1C1A"/>
          <w:sz w:val="20"/>
          <w:szCs w:val="20"/>
        </w:rPr>
        <w:t xml:space="preserve">şemayı şimdi düzelt, ekranı para geldiğinde bir kere çiz.</w:t>
      </w:r>
      <w:r>
        <w:rPr>
          <w:color w:val="1C1C1A"/>
          <w:sz w:val="20"/>
          <w:szCs w:val="20"/>
        </w:rPr>
        <w:t xml:space="preserve"> A paketi küçüktür ve öncelik sırasını geciktirmez; B paketi zaten yapılacak işin içine girer.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Fazlar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"/>
        <w:gridCol w:w="6901"/>
        <w:gridCol w:w="1224"/>
      </w:tblGrid>
      <w:tr>
        <w:trPr>
          <w:tblHeader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Faz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Paket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F00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Kararların kapatılması, şema dokümanının dondurulması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F01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şema ve tek seferlik veri taşıma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F02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Görünürlüğün proje üyeliğine çevrilmesi, yönlendirme politikasının ayrılması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F03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birleştirmesi, ticket → iş kalemi bağı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F04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Çalışma alanı, kayıtlı görünümler, profil katmanı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F05</w:t>
            </w:r>
          </w:p>
        </w:tc>
        <w:tc>
          <w:tcPr>
            <w:tcW w:type="dxa" w:w="69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Eski tabloların kaldırılması</w:t>
            </w:r>
          </w:p>
        </w:tc>
        <w:tc>
          <w:tcPr>
            <w:tcW w:type="dxa" w:w="12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 sonrası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6. Riskler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9"/>
        <w:gridCol w:w="3640"/>
        <w:gridCol w:w="3637"/>
      </w:tblGrid>
      <w:tr>
        <w:trPr>
          <w:tblHeader/>
        </w:trPr>
        <w:tc>
          <w:tcPr>
            <w:tcW w:type="dxa" w:w="174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Risk</w:t>
            </w:r>
          </w:p>
        </w:tc>
        <w:tc>
          <w:tcPr>
            <w:tcW w:type="dxa" w:w="3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Etki</w:t>
            </w:r>
          </w:p>
        </w:tc>
        <w:tc>
          <w:tcPr>
            <w:tcW w:type="dxa" w:w="36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Azaltım</w:t>
            </w:r>
          </w:p>
        </w:tc>
      </w:tr>
      <w:tr>
        <w:trPr>
          <w:tblHeader w:val="false"/>
        </w:trPr>
        <w:tc>
          <w:tcPr>
            <w:tcW w:type="dxa" w:w="174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Public API ve MCP sözleşmesi</w:t>
            </w:r>
          </w:p>
        </w:tc>
        <w:tc>
          <w:tcPr>
            <w:tcW w:type="dxa" w:w="3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Dışa açık uçlar ve 24 MCP aracının 6 yazma aracı doğrudan eski task şeklini konuşuyor. Bu katman rakip analizinde ürünün nadir üstünlüğü sayılıyor; kırmak satış argümanını kırmaktır</w:t>
            </w:r>
          </w:p>
        </w:tc>
        <w:tc>
          <w:tcPr>
            <w:tcW w:type="dxa" w:w="36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F01–F03 boyunca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/v1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uyumluluk katmanı zorunlu; MCP uyumluluk matrisi yeniden koşulur</w:t>
            </w:r>
          </w:p>
        </w:tc>
      </w:tr>
      <w:tr>
        <w:trPr>
          <w:tblHeader w:val="false"/>
        </w:trPr>
        <w:tc>
          <w:tcPr>
            <w:tcW w:type="dxa" w:w="174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Veri kaybı algısı</w:t>
            </w:r>
          </w:p>
        </w:tc>
        <w:tc>
          <w:tcPr>
            <w:tcW w:type="dxa" w:w="3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Taşıma sırasında "işim kayboldu" şikâyeti</w:t>
            </w:r>
          </w:p>
        </w:tc>
        <w:tc>
          <w:tcPr>
            <w:tcW w:type="dxa" w:w="36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Taşıma tahmine dayanmıyor; toplu atama kimliği kalıcı ve kesin. Görünürlük geçişinde mevcut atayan ve atananlar projeye üye yazılır</w:t>
            </w:r>
          </w:p>
        </w:tc>
      </w:tr>
      <w:tr>
        <w:trPr>
          <w:tblHeader w:val="false"/>
        </w:trPr>
        <w:tc>
          <w:tcPr>
            <w:tcW w:type="dxa" w:w="174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Migration sırası</w:t>
            </w:r>
          </w:p>
        </w:tc>
        <w:tc>
          <w:tcPr>
            <w:tcW w:type="dxa" w:w="3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Sıra bağımlı migration dosyaları</w:t>
            </w:r>
          </w:p>
        </w:tc>
        <w:tc>
          <w:tcPr>
            <w:tcW w:type="dxa" w:w="36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 fazlarda paralel ajan migration yazmaz (depo kuralı)</w:t>
            </w:r>
          </w:p>
        </w:tc>
      </w:tr>
      <w:tr>
        <w:trPr>
          <w:tblHeader w:val="false"/>
        </w:trPr>
        <w:tc>
          <w:tcPr>
            <w:tcW w:type="dxa" w:w="174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Kapasite</w:t>
            </w:r>
          </w:p>
        </w:tc>
        <w:tc>
          <w:tcPr>
            <w:tcW w:type="dxa" w:w="3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Dört kişilik ekip, "her şey aracı" tuzağı</w:t>
            </w:r>
          </w:p>
        </w:tc>
        <w:tc>
          <w:tcPr>
            <w:tcW w:type="dxa" w:w="36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A/B bölmesi tam olarak bu uyarıya cevap</w:t>
            </w:r>
          </w:p>
        </w:tc>
      </w:tr>
      <w:tr>
        <w:trPr>
          <w:tblHeader w:val="false"/>
        </w:trPr>
        <w:tc>
          <w:tcPr>
            <w:tcW w:type="dxa" w:w="174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Kapsam sızıntısı</w:t>
            </w:r>
          </w:p>
        </w:tc>
        <w:tc>
          <w:tcPr>
            <w:tcW w:type="dxa" w:w="3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Bağımlılıktan gantt'a kayma</w:t>
            </w:r>
          </w:p>
        </w:tc>
        <w:tc>
          <w:tcPr>
            <w:tcW w:type="dxa" w:w="36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Sınır bu dokümanda yazılı; bağ pasif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7. Başarı ölçütleri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Rework "bitti" sayılır ancak şunlar doğruysa: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A"/>
          <w:sz w:val="20"/>
          <w:szCs w:val="20"/>
        </w:rPr>
        <w:t xml:space="preserve">Üç kişiye atanan bir iş, veritabanında </w:t>
      </w:r>
      <w:r>
        <w:rPr>
          <w:b/>
          <w:bCs/>
          <w:color w:val="1C1C1A"/>
          <w:sz w:val="20"/>
          <w:szCs w:val="20"/>
        </w:rPr>
        <w:t xml:space="preserve">tek</w:t>
      </w:r>
      <w:r>
        <w:rPr>
          <w:color w:val="1C1C1A"/>
          <w:sz w:val="20"/>
          <w:szCs w:val="20"/>
        </w:rPr>
        <w:t xml:space="preserve"> kayıttır ve arayüzde tek iş olarak görünür.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A"/>
          <w:sz w:val="20"/>
          <w:szCs w:val="20"/>
        </w:rPr>
        <w:t xml:space="preserve">Proje üyesi, kendisine atanmamış bir projeyi ve işlerini görebilir; atama değişince kimse bağlam kaybetmez.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A"/>
          <w:sz w:val="20"/>
          <w:szCs w:val="20"/>
        </w:rPr>
        <w:t xml:space="preserve">Sahibi olmayan iş kaybolmaz; triage kuyruğunda durur.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A"/>
          <w:sz w:val="20"/>
          <w:szCs w:val="20"/>
        </w:rPr>
        <w:t xml:space="preserve">Bir tenant kendi durum akışını tanımlayabilir ve pano sütunları buna göre değişir.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A"/>
          <w:sz w:val="20"/>
          <w:szCs w:val="20"/>
        </w:rPr>
        <w:t xml:space="preserve">Bir iş kaleminin tahmin / girilen saat / faturalandırılabilir saat değerleri tek yerden okunur ve proje toplamına eşittir.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A"/>
          <w:sz w:val="20"/>
          <w:szCs w:val="20"/>
        </w:rPr>
        <w:t xml:space="preserve">Bir ticket'tan doğan iş, kaynağıyla birlikte izlenebilir.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/v1</w:t>
      </w:r>
      <w:r>
        <w:rPr>
          <w:color w:val="1C1C1A"/>
          <w:sz w:val="20"/>
          <w:szCs w:val="20"/>
        </w:rPr>
        <w:t xml:space="preserve"> API ve MCP araçları, taşıma sonrası davranış değiştirmeden çalışmaya devam eder.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8. Kapatılacak kararlar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"/>
        <w:gridCol w:w="4640"/>
        <w:gridCol w:w="3817"/>
      </w:tblGrid>
      <w:tr>
        <w:trPr>
          <w:tblHeader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#</w:t>
            </w:r>
          </w:p>
        </w:tc>
        <w:tc>
          <w:tcPr>
            <w:tcW w:type="dxa" w:w="4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Karar</w:t>
            </w:r>
          </w:p>
        </w:tc>
        <w:tc>
          <w:tcPr>
            <w:tcW w:type="dxa" w:w="38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Öneri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1</w:t>
            </w:r>
          </w:p>
        </w:tc>
        <w:tc>
          <w:tcPr>
            <w:tcW w:type="dxa" w:w="4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Sahiplik: tek sorumlu + katılımcılar mı, tamamen çoklu atanan mı</w:t>
            </w:r>
          </w:p>
        </w:tc>
        <w:tc>
          <w:tcPr>
            <w:tcW w:type="dxa" w:w="38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sorumlu; grup ihtiyacı katılımcı ile karşılanır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2</w:t>
            </w:r>
          </w:p>
        </w:tc>
        <w:tc>
          <w:tcPr>
            <w:tcW w:type="dxa" w:w="4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Alt proje: proje ağacının seviyesi mi, iş kaleminin altı mı</w:t>
            </w:r>
          </w:p>
        </w:tc>
        <w:tc>
          <w:tcPr>
            <w:tcW w:type="dxa" w:w="38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kaleminin altı; proje ağacı müşteri → proje ile biter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3</w:t>
            </w:r>
          </w:p>
        </w:tc>
        <w:tc>
          <w:tcPr>
            <w:tcW w:type="dxa" w:w="4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Faturalandırılabilirlik varsayılanı nerede yaşar</w:t>
            </w:r>
          </w:p>
        </w:tc>
        <w:tc>
          <w:tcPr>
            <w:tcW w:type="dxa" w:w="38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kaleminde varsayılan, zaman kaydında override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4</w:t>
            </w:r>
          </w:p>
        </w:tc>
        <w:tc>
          <w:tcPr>
            <w:tcW w:type="dxa" w:w="46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A/B bölmesi kabul mü</w:t>
            </w:r>
          </w:p>
        </w:tc>
        <w:tc>
          <w:tcPr>
            <w:tcW w:type="dxa" w:w="38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 — rework'ün başlangıcını belirleyen tek karar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420"/>
      </w:pPr>
    </w:lvl>
    <w:lvl w:ilvl="1" w15:tentative="1">
      <w:start w:val="1"/>
      <w:numFmt w:val="lowerLetter"/>
      <w:lvlText w:val="%2."/>
      <w:lvlJc w:val="start"/>
      <w:pPr>
        <w:ind w:left="10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— İş Kalemi Modülü</dc:title>
  <dc:creator>DuoSis</dc:creator>
  <cp:lastModifiedBy>Un-named</cp:lastModifiedBy>
  <cp:revision>1</cp:revision>
  <dcterms:created xsi:type="dcterms:W3CDTF">2026-09-09T00:31:02.800Z</dcterms:created>
  <dcterms:modified xsi:type="dcterms:W3CDTF">2026-09-09T00:31:02.800Z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