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makes every change in the Governance Centre, and every other approval in the system, fully logged, with room for supporting documents (section 8).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Every governed change logged, with its supporting documents</w:t>
      </w:r>
    </w:p>
    <w:p>
      <w:pPr>
        <w:spacing w:after="120"/>
        <w:jc w:val="both"/>
      </w:pPr>
      <w:r>
        <w:rPr>
          <w:b w:val="0"/>
          <w:i w:val="0"/>
        </w:rPr>
        <w:t xml:space="preserve">Staging becomes governed through the Governance Centre, so the Centre's record has to be good enough for an auditor or the Reserve Bank to follow every policy choice: who proposed it, why, on what evidence, who approved or rejected it, when it took effect and what it replaced. Sections 8.1 to 8.5 cover </w:t>
      </w:r>
      <w:r>
        <w:rPr>
          <w:b/>
          <w:i w:val="0"/>
        </w:rPr>
        <w:t>every setting in the Governance Centre</w:t>
      </w:r>
      <w:r>
        <w:rPr>
          <w:b w:val="0"/>
          <w:i w:val="0"/>
        </w:rPr>
        <w:t xml:space="preserve">, not only the staging ones. Section 8.6 applies the same record to </w:t>
      </w:r>
      <w:r>
        <w:rPr>
          <w:b/>
          <w:i w:val="0"/>
        </w:rPr>
        <w:t>every other approval in the system</w:t>
      </w:r>
      <w:r>
        <w:rPr>
          <w:b w:val="0"/>
          <w:i w:val="0"/>
        </w:rPr>
        <w:t>: the rules, registers, models, locks and sign-offs that are proposed by one person and decided by another outside the Centre.</w:t>
      </w:r>
    </w:p>
    <w:p>
      <w:pPr>
        <w:pStyle w:val="Heading3"/>
      </w:pPr>
      <w:r>
        <w:t>8.1 What is recorded today, and what is missing</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Today</w:t>
            </w:r>
          </w:p>
        </w:tc>
        <w:tc>
          <w:tcPr>
            <w:tcW w:type="dxa" w:w="4986"/>
            <w:shd w:val="clear" w:color="auto" w:fill="1B2A41"/>
          </w:tcPr>
          <w:p>
            <w:r>
              <w:rPr>
                <w:b/>
                <w:color w:val="FFFFFF"/>
                <w:sz w:val="17"/>
              </w:rPr>
            </w:r>
            <w:r>
              <w:rPr>
                <w:b/>
                <w:i w:val="0"/>
                <w:color w:val="FFFFFF"/>
                <w:sz w:val="17"/>
              </w:rPr>
              <w:t>Gap</w:t>
            </w:r>
          </w:p>
        </w:tc>
      </w:tr>
      <w:tr>
        <w:trPr>
          <w:cantSplit/>
        </w:trPr>
        <w:tc>
          <w:tcPr>
            <w:tcW w:type="dxa" w:w="4986"/>
          </w:tcPr>
          <w:p>
            <w:r>
              <w:rPr>
                <w:b w:val="0"/>
                <w:sz w:val="17"/>
              </w:rPr>
            </w:r>
            <w:r>
              <w:rPr>
                <w:b w:val="0"/>
                <w:i w:val="0"/>
                <w:sz w:val="17"/>
              </w:rPr>
              <w:t>A proposal writes an audit entry ("EIR Governance Setting Proposed") with the old and new values, the effective date and the reason</w:t>
            </w:r>
          </w:p>
        </w:tc>
        <w:tc>
          <w:tcPr>
            <w:tcW w:type="dxa" w:w="4986"/>
          </w:tcPr>
          <w:p>
            <w:r>
              <w:rPr>
                <w:b w:val="0"/>
                <w:sz w:val="17"/>
              </w:rPr>
            </w:r>
            <w:r>
              <w:rPr>
                <w:b w:val="0"/>
                <w:i w:val="0"/>
                <w:sz w:val="17"/>
              </w:rPr>
              <w:t>Only proposals and approvals are recorded. There is no reject or withdraw step: a proposal that is not wanted can only be left standing, with no record of why</w:t>
            </w:r>
          </w:p>
        </w:tc>
      </w:tr>
      <w:tr>
        <w:trPr>
          <w:cantSplit/>
        </w:trPr>
        <w:tc>
          <w:tcPr>
            <w:tcW w:type="dxa" w:w="4986"/>
          </w:tcPr>
          <w:p>
            <w:r>
              <w:rPr>
                <w:b w:val="0"/>
                <w:sz w:val="17"/>
              </w:rPr>
            </w:r>
            <w:r>
              <w:rPr>
                <w:b w:val="0"/>
                <w:i w:val="0"/>
                <w:sz w:val="17"/>
              </w:rPr>
              <w:t>An approval writes an audit entry ("EIR Governance Setting Approved"), and the setting it replaces is copied to the history table</w:t>
            </w:r>
          </w:p>
        </w:tc>
        <w:tc>
          <w:tcPr>
            <w:tcW w:type="dxa" w:w="4986"/>
          </w:tcPr>
          <w:p>
            <w:r>
              <w:rPr>
                <w:b w:val="0"/>
                <w:sz w:val="17"/>
              </w:rPr>
            </w:r>
            <w:r>
              <w:rPr>
                <w:b w:val="0"/>
                <w:i w:val="0"/>
                <w:sz w:val="17"/>
              </w:rPr>
              <w:t>The reason is cut to 500 characters on the setting</w:t>
            </w:r>
          </w:p>
        </w:tc>
      </w:tr>
      <w:tr>
        <w:trPr>
          <w:cantSplit/>
        </w:trPr>
        <w:tc>
          <w:tcPr>
            <w:tcW w:type="dxa" w:w="4986"/>
          </w:tcPr>
          <w:p>
            <w:r>
              <w:rPr>
                <w:b w:val="0"/>
                <w:sz w:val="17"/>
              </w:rPr>
            </w:r>
            <w:r>
              <w:rPr>
                <w:b w:val="0"/>
                <w:i w:val="0"/>
                <w:sz w:val="17"/>
              </w:rPr>
              <w:t>The proposer cannot approve their own change; an administrator override is itself a governed setting</w:t>
            </w:r>
          </w:p>
        </w:tc>
        <w:tc>
          <w:tcPr>
            <w:tcW w:type="dxa" w:w="4986"/>
          </w:tcPr>
          <w:p>
            <w:r>
              <w:rPr>
                <w:b w:val="0"/>
                <w:sz w:val="17"/>
              </w:rPr>
            </w:r>
            <w:r>
              <w:rPr>
                <w:b w:val="0"/>
                <w:i w:val="0"/>
                <w:sz w:val="17"/>
              </w:rPr>
              <w:t>The seeded defaults are written by the installation with no audit entry</w:t>
            </w:r>
          </w:p>
        </w:tc>
      </w:tr>
      <w:tr>
        <w:trPr>
          <w:cantSplit/>
        </w:trPr>
        <w:tc>
          <w:tcPr>
            <w:tcW w:type="dxa" w:w="4986"/>
          </w:tcPr>
          <w:p>
            <w:r>
              <w:rPr>
                <w:b w:val="0"/>
                <w:sz w:val="17"/>
              </w:rPr>
            </w:r>
          </w:p>
        </w:tc>
        <w:tc>
          <w:tcPr>
            <w:tcW w:type="dxa" w:w="4986"/>
          </w:tcPr>
          <w:p>
            <w:r>
              <w:rPr>
                <w:b w:val="0"/>
                <w:sz w:val="17"/>
              </w:rPr>
            </w:r>
            <w:r>
              <w:rPr>
                <w:b w:val="0"/>
                <w:i w:val="0"/>
                <w:sz w:val="17"/>
              </w:rPr>
              <w:t>No document can be attached to a proposal or an approval</w:t>
            </w:r>
          </w:p>
        </w:tc>
      </w:tr>
      <w:tr>
        <w:trPr>
          <w:cantSplit/>
        </w:trPr>
        <w:tc>
          <w:tcPr>
            <w:tcW w:type="dxa" w:w="4986"/>
          </w:tcPr>
          <w:p>
            <w:r>
              <w:rPr>
                <w:b w:val="0"/>
                <w:sz w:val="17"/>
              </w:rPr>
            </w:r>
          </w:p>
        </w:tc>
        <w:tc>
          <w:tcPr>
            <w:tcW w:type="dxa" w:w="4986"/>
          </w:tcPr>
          <w:p>
            <w:r>
              <w:rPr>
                <w:b w:val="0"/>
                <w:sz w:val="17"/>
              </w:rPr>
            </w:r>
            <w:r>
              <w:rPr>
                <w:b w:val="0"/>
                <w:i w:val="0"/>
                <w:sz w:val="17"/>
              </w:rPr>
              <w:t>The record is spread across the general Audit Trail screen; there is no single history per setting</w:t>
            </w:r>
          </w:p>
        </w:tc>
      </w:tr>
      <w:tr>
        <w:trPr>
          <w:cantSplit/>
        </w:trPr>
        <w:tc>
          <w:tcPr>
            <w:tcW w:type="dxa" w:w="4986"/>
          </w:tcPr>
          <w:p>
            <w:r>
              <w:rPr>
                <w:b w:val="0"/>
                <w:sz w:val="17"/>
              </w:rPr>
            </w:r>
          </w:p>
        </w:tc>
        <w:tc>
          <w:tcPr>
            <w:tcW w:type="dxa" w:w="4986"/>
          </w:tcPr>
          <w:p>
            <w:r>
              <w:rPr>
                <w:b w:val="0"/>
                <w:sz w:val="17"/>
              </w:rPr>
            </w:r>
            <w:r>
              <w:rPr>
                <w:b w:val="0"/>
                <w:i w:val="0"/>
                <w:sz w:val="17"/>
              </w:rPr>
              <w:t>The audit log is an ordinary database table: a database administrator could change or delete an entry without trace</w:t>
            </w:r>
          </w:p>
        </w:tc>
      </w:tr>
    </w:tbl>
    <w:p/>
    <w:p>
      <w:pPr>
        <w:pStyle w:val="Heading3"/>
      </w:pPr>
      <w:r>
        <w:t>8.2 What every change will record</w:t>
      </w:r>
    </w:p>
    <w:p>
      <w:pPr>
        <w:spacing w:after="120"/>
        <w:jc w:val="both"/>
      </w:pPr>
      <w:r>
        <w:rPr>
          <w:b w:val="0"/>
          <w:i w:val="0"/>
        </w:rPr>
        <w:t>Each of the following events writes one audit entry, linked to the setting and to the change it belongs to: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Event</w:t>
            </w:r>
          </w:p>
        </w:tc>
        <w:tc>
          <w:tcPr>
            <w:tcW w:type="dxa" w:w="4986"/>
            <w:shd w:val="clear" w:color="auto" w:fill="1B2A41"/>
          </w:tcPr>
          <w:p>
            <w:r>
              <w:rPr>
                <w:b/>
                <w:color w:val="FFFFFF"/>
                <w:sz w:val="17"/>
              </w:rPr>
            </w:r>
            <w:r>
              <w:rPr>
                <w:b/>
                <w:i w:val="0"/>
                <w:color w:val="FFFFFF"/>
                <w:sz w:val="17"/>
              </w:rPr>
              <w:t>Recorded</w:t>
            </w:r>
          </w:p>
        </w:tc>
      </w:tr>
      <w:tr>
        <w:trPr>
          <w:cantSplit/>
        </w:trPr>
        <w:tc>
          <w:tcPr>
            <w:tcW w:type="dxa" w:w="4986"/>
          </w:tcPr>
          <w:p>
            <w:r>
              <w:rPr>
                <w:b w:val="0"/>
                <w:sz w:val="17"/>
              </w:rPr>
            </w:r>
            <w:r>
              <w:rPr>
                <w:b/>
                <w:i w:val="0"/>
                <w:sz w:val="17"/>
              </w:rPr>
              <w:t>Seeded</w:t>
            </w:r>
          </w:p>
        </w:tc>
        <w:tc>
          <w:tcPr>
            <w:tcW w:type="dxa" w:w="4986"/>
          </w:tcPr>
          <w:p>
            <w:r>
              <w:rPr>
                <w:b w:val="0"/>
                <w:sz w:val="17"/>
              </w:rPr>
            </w:r>
            <w:r>
              <w:rPr>
                <w:b w:val="0"/>
                <w:i w:val="0"/>
                <w:sz w:val="17"/>
              </w:rPr>
              <w:t>The setting, the seeded value, its effective date, and that it was seeded by installation (not a MAIIC decision)</w:t>
            </w:r>
          </w:p>
        </w:tc>
      </w:tr>
      <w:tr>
        <w:trPr>
          <w:cantSplit/>
        </w:trPr>
        <w:tc>
          <w:tcPr>
            <w:tcW w:type="dxa" w:w="4986"/>
          </w:tcPr>
          <w:p>
            <w:r>
              <w:rPr>
                <w:b w:val="0"/>
                <w:sz w:val="17"/>
              </w:rPr>
            </w:r>
            <w:r>
              <w:rPr>
                <w:b/>
                <w:i w:val="0"/>
                <w:sz w:val="17"/>
              </w:rPr>
              <w:t>Proposed</w:t>
            </w:r>
          </w:p>
        </w:tc>
        <w:tc>
          <w:tcPr>
            <w:tcW w:type="dxa" w:w="4986"/>
          </w:tcPr>
          <w:p>
            <w:r>
              <w:rPr>
                <w:b w:val="0"/>
                <w:sz w:val="17"/>
              </w:rPr>
            </w:r>
            <w:r>
              <w:rPr>
                <w:b w:val="0"/>
                <w:i w:val="0"/>
                <w:sz w:val="17"/>
              </w:rPr>
              <w:t>The proposer, the setting, the value in force and the proposed value, the effective date, the reason in full, and the documents attached</w:t>
            </w:r>
          </w:p>
        </w:tc>
      </w:tr>
      <w:tr>
        <w:trPr>
          <w:cantSplit/>
        </w:trPr>
        <w:tc>
          <w:tcPr>
            <w:tcW w:type="dxa" w:w="4986"/>
          </w:tcPr>
          <w:p>
            <w:r>
              <w:rPr>
                <w:b w:val="0"/>
                <w:sz w:val="17"/>
              </w:rPr>
            </w:r>
            <w:r>
              <w:rPr>
                <w:b/>
                <w:i w:val="0"/>
                <w:sz w:val="17"/>
              </w:rPr>
              <w:t>Document added or removed</w:t>
            </w:r>
          </w:p>
        </w:tc>
        <w:tc>
          <w:tcPr>
            <w:tcW w:type="dxa" w:w="4986"/>
          </w:tcPr>
          <w:p>
            <w:r>
              <w:rPr>
                <w:b w:val="0"/>
                <w:sz w:val="17"/>
              </w:rPr>
            </w:r>
            <w:r>
              <w:rPr>
                <w:b w:val="0"/>
                <w:i w:val="0"/>
                <w:sz w:val="17"/>
              </w:rPr>
              <w:t>Who, when, the document's name, type, size and fingerprint; a removed document is kept and marked removed, never deleted</w:t>
            </w:r>
          </w:p>
        </w:tc>
      </w:tr>
      <w:tr>
        <w:trPr>
          <w:cantSplit/>
        </w:trPr>
        <w:tc>
          <w:tcPr>
            <w:tcW w:type="dxa" w:w="4986"/>
          </w:tcPr>
          <w:p>
            <w:r>
              <w:rPr>
                <w:b w:val="0"/>
                <w:sz w:val="17"/>
              </w:rPr>
            </w:r>
            <w:r>
              <w:rPr>
                <w:b/>
                <w:i w:val="0"/>
                <w:sz w:val="17"/>
              </w:rPr>
              <w:t>Approved</w:t>
            </w:r>
          </w:p>
        </w:tc>
        <w:tc>
          <w:tcPr>
            <w:tcW w:type="dxa" w:w="4986"/>
          </w:tcPr>
          <w:p>
            <w:r>
              <w:rPr>
                <w:b w:val="0"/>
                <w:sz w:val="17"/>
              </w:rPr>
            </w:r>
            <w:r>
              <w:rPr>
                <w:b w:val="0"/>
                <w:i w:val="0"/>
                <w:sz w:val="17"/>
              </w:rPr>
              <w:t>The approver, the time, any comment, the documents attached at approval, and the setting the change replaces</w:t>
            </w:r>
          </w:p>
        </w:tc>
      </w:tr>
      <w:tr>
        <w:trPr>
          <w:cantSplit/>
        </w:trPr>
        <w:tc>
          <w:tcPr>
            <w:tcW w:type="dxa" w:w="4986"/>
          </w:tcPr>
          <w:p>
            <w:r>
              <w:rPr>
                <w:b w:val="0"/>
                <w:sz w:val="17"/>
              </w:rPr>
            </w:r>
            <w:r>
              <w:rPr>
                <w:b/>
                <w:i w:val="0"/>
                <w:sz w:val="17"/>
              </w:rPr>
              <w:t>Rejected</w:t>
            </w:r>
            <w:r>
              <w:rPr>
                <w:b w:val="0"/>
                <w:i w:val="0"/>
                <w:sz w:val="17"/>
              </w:rPr>
              <w:t xml:space="preserve"> (new)</w:t>
            </w:r>
          </w:p>
        </w:tc>
        <w:tc>
          <w:tcPr>
            <w:tcW w:type="dxa" w:w="4986"/>
          </w:tcPr>
          <w:p>
            <w:r>
              <w:rPr>
                <w:b w:val="0"/>
                <w:sz w:val="17"/>
              </w:rPr>
            </w:r>
            <w:r>
              <w:rPr>
                <w:b w:val="0"/>
                <w:i w:val="0"/>
                <w:sz w:val="17"/>
              </w:rPr>
              <w:t>The reviewer, the time and the reason (required). The proposal stays on record as rejected</w:t>
            </w:r>
          </w:p>
        </w:tc>
      </w:tr>
      <w:tr>
        <w:trPr>
          <w:cantSplit/>
        </w:trPr>
        <w:tc>
          <w:tcPr>
            <w:tcW w:type="dxa" w:w="4986"/>
          </w:tcPr>
          <w:p>
            <w:r>
              <w:rPr>
                <w:b w:val="0"/>
                <w:sz w:val="17"/>
              </w:rPr>
            </w:r>
            <w:r>
              <w:rPr>
                <w:b/>
                <w:i w:val="0"/>
                <w:sz w:val="17"/>
              </w:rPr>
              <w:t>Withdrawn</w:t>
            </w:r>
            <w:r>
              <w:rPr>
                <w:b w:val="0"/>
                <w:i w:val="0"/>
                <w:sz w:val="17"/>
              </w:rPr>
              <w:t xml:space="preserve"> (new)</w:t>
            </w:r>
          </w:p>
        </w:tc>
        <w:tc>
          <w:tcPr>
            <w:tcW w:type="dxa" w:w="4986"/>
          </w:tcPr>
          <w:p>
            <w:r>
              <w:rPr>
                <w:b w:val="0"/>
                <w:sz w:val="17"/>
              </w:rPr>
            </w:r>
            <w:r>
              <w:rPr>
                <w:b w:val="0"/>
                <w:i w:val="0"/>
                <w:sz w:val="17"/>
              </w:rPr>
              <w:t>The proposer, the time and the reason. The proposal stays on record as withdrawn</w:t>
            </w:r>
          </w:p>
        </w:tc>
      </w:tr>
      <w:tr>
        <w:trPr>
          <w:cantSplit/>
        </w:trPr>
        <w:tc>
          <w:tcPr>
            <w:tcW w:type="dxa" w:w="4986"/>
          </w:tcPr>
          <w:p>
            <w:r>
              <w:rPr>
                <w:b w:val="0"/>
                <w:sz w:val="17"/>
              </w:rPr>
            </w:r>
            <w:r>
              <w:rPr>
                <w:b/>
                <w:i w:val="0"/>
                <w:sz w:val="17"/>
              </w:rPr>
              <w:t>Preset applied</w:t>
            </w:r>
          </w:p>
        </w:tc>
        <w:tc>
          <w:tcPr>
            <w:tcW w:type="dxa" w:w="4986"/>
          </w:tcPr>
          <w:p>
            <w:r>
              <w:rPr>
                <w:b w:val="0"/>
                <w:sz w:val="17"/>
              </w:rPr>
            </w:r>
            <w:r>
              <w:rPr>
                <w:b w:val="0"/>
                <w:i w:val="0"/>
                <w:sz w:val="17"/>
              </w:rPr>
              <w:t>For a preset (section 3), one entry for the preset and one for each setting it changed, all linked to the same change</w:t>
            </w:r>
          </w:p>
        </w:tc>
      </w:tr>
      <w:tr>
        <w:trPr>
          <w:cantSplit/>
        </w:trPr>
        <w:tc>
          <w:tcPr>
            <w:tcW w:type="dxa" w:w="4986"/>
          </w:tcPr>
          <w:p>
            <w:r>
              <w:rPr>
                <w:b w:val="0"/>
                <w:sz w:val="17"/>
              </w:rPr>
            </w:r>
            <w:r>
              <w:rPr>
                <w:b/>
                <w:i w:val="0"/>
                <w:sz w:val="17"/>
              </w:rPr>
              <w:t>Override used</w:t>
            </w:r>
          </w:p>
        </w:tc>
        <w:tc>
          <w:tcPr>
            <w:tcW w:type="dxa" w:w="4986"/>
          </w:tcPr>
          <w:p>
            <w:r>
              <w:rPr>
                <w:b w:val="0"/>
                <w:sz w:val="17"/>
              </w:rPr>
            </w:r>
            <w:r>
              <w:rPr>
                <w:b w:val="0"/>
                <w:i w:val="0"/>
                <w:sz w:val="17"/>
              </w:rPr>
              <w:t>If an administrator approves their own proposal under the governed override, that fact, with the override setting in force</w:t>
            </w:r>
          </w:p>
        </w:tc>
      </w:tr>
    </w:tbl>
    <w:p/>
    <w:p>
      <w:pPr>
        <w:pStyle w:val="Heading3"/>
      </w:pPr>
      <w:r>
        <w:t>8.3 Supporting documents</w:t>
      </w:r>
    </w:p>
    <w:p>
      <w:pPr>
        <w:pStyle w:val="ListBullet"/>
        <w:jc w:val="both"/>
      </w:pPr>
      <w:r>
        <w:rPr>
          <w:b/>
          <w:i w:val="0"/>
        </w:rPr>
        <w:t>Where.</w:t>
      </w:r>
      <w:r>
        <w:rPr>
          <w:b w:val="0"/>
          <w:i w:val="0"/>
        </w:rPr>
        <w:t xml:space="preserve"> A proposal, an approval, a rejection and a withdrawal can each carry documents: for example a board or committee minute, a policy paper, an analysis, the comparison-run export (section 4), or correspondence with the auditors or the Reserve Bank.</w:t>
      </w:r>
    </w:p>
    <w:p>
      <w:pPr>
        <w:pStyle w:val="ListBullet"/>
        <w:jc w:val="both"/>
      </w:pPr>
      <w:r>
        <w:rPr>
          <w:b/>
          <w:i w:val="0"/>
        </w:rPr>
        <w:t>Required evidence.</w:t>
      </w:r>
      <w:r>
        <w:rPr>
          <w:b w:val="0"/>
          <w:i w:val="0"/>
        </w:rPr>
        <w:t xml:space="preserve"> Each setting can be marked as needing a document to be approved. The staging presets, </w:t>
      </w:r>
      <w:r>
        <w:rPr>
          <w:rFonts w:ascii="Consolas" w:hAnsi="Consolas"/>
          <w:b w:val="0"/>
          <w:i w:val="0"/>
          <w:sz w:val="18"/>
        </w:rPr>
        <w:t>staging_threshold_profile</w:t>
      </w:r>
      <w:r>
        <w:rPr>
          <w:b w:val="0"/>
          <w:i w:val="0"/>
        </w:rPr>
        <w:t xml:space="preserve"> and </w:t>
      </w:r>
      <w:r>
        <w:rPr>
          <w:rFonts w:ascii="Consolas" w:hAnsi="Consolas"/>
          <w:b w:val="0"/>
          <w:i w:val="0"/>
          <w:sz w:val="18"/>
        </w:rPr>
        <w:t>stage2_threshold_medium_long</w:t>
      </w:r>
      <w:r>
        <w:rPr>
          <w:b w:val="0"/>
          <w:i w:val="0"/>
        </w:rPr>
        <w:t xml:space="preserve"> (a rebuttal under IFRS 9) are marked: adopting directive-aligned staging cannot be approved without the minute or decision that adopts it.</w:t>
      </w:r>
    </w:p>
    <w:p>
      <w:pPr>
        <w:pStyle w:val="ListBullet"/>
        <w:jc w:val="both"/>
      </w:pPr>
      <w:r>
        <w:rPr>
          <w:b/>
          <w:i w:val="0"/>
        </w:rPr>
        <w:t>Kinds of file.</w:t>
      </w:r>
      <w:r>
        <w:rPr>
          <w:b w:val="0"/>
          <w:i w:val="0"/>
        </w:rPr>
        <w:t xml:space="preserve"> PDF, Word, Excel, CSV, PNG and JPEG, up to 20 MB each, with a short description and a document type (minute, policy, analysis, correspondence, other).</w:t>
      </w:r>
    </w:p>
    <w:p>
      <w:pPr>
        <w:pStyle w:val="ListBullet"/>
        <w:jc w:val="both"/>
      </w:pPr>
      <w:r>
        <w:rPr>
          <w:b/>
          <w:i w:val="0"/>
        </w:rPr>
        <w:t>Stored safely.</w:t>
      </w:r>
      <w:r>
        <w:rPr>
          <w:b w:val="0"/>
          <w:i w:val="0"/>
        </w:rPr>
        <w:t xml:space="preserve"> Files go to the system's </w:t>
      </w:r>
      <w:r>
        <w:rPr>
          <w:b/>
          <w:i w:val="0"/>
        </w:rPr>
        <w:t>private</w:t>
      </w:r>
      <w:r>
        <w:rPr>
          <w:b w:val="0"/>
          <w:i w:val="0"/>
        </w:rPr>
        <w:t xml:space="preserve"> storage on MAIIC's server, never to the public web folder, and can be opened only by users with the governance permission. Each file's SHA-256 fingerprint is recorded when it is uploaded and checked when it is opened, so a changed file shows. The existing </w:t>
      </w:r>
      <w:r>
        <w:rPr>
          <w:rFonts w:ascii="Consolas" w:hAnsi="Consolas"/>
          <w:b w:val="0"/>
          <w:i w:val="0"/>
          <w:sz w:val="18"/>
        </w:rPr>
        <w:t>supporting_documents</w:t>
      </w:r>
      <w:r>
        <w:rPr>
          <w:b w:val="0"/>
          <w:i w:val="0"/>
        </w:rPr>
        <w:t xml:space="preserve"> table is reused for this, with its storage set to private.</w:t>
      </w:r>
    </w:p>
    <w:p>
      <w:pPr>
        <w:pStyle w:val="ListBullet"/>
        <w:jc w:val="both"/>
      </w:pPr>
      <w:r>
        <w:rPr>
          <w:b/>
          <w:i w:val="0"/>
        </w:rPr>
        <w:t>Kept.</w:t>
      </w:r>
      <w:r>
        <w:rPr>
          <w:b w:val="0"/>
          <w:i w:val="0"/>
        </w:rPr>
        <w:t xml:space="preserve"> Documents are never deleted from a decided change. They are included in the backups (spec v4 and the integration document, storage and backup) and kept for the life of the system.</w:t>
      </w:r>
    </w:p>
    <w:p>
      <w:pPr>
        <w:pStyle w:val="Heading3"/>
      </w:pPr>
      <w:r>
        <w:t>8.4 One history per setting</w:t>
      </w:r>
    </w:p>
    <w:p>
      <w:pPr>
        <w:spacing w:after="120"/>
        <w:jc w:val="both"/>
      </w:pPr>
      <w:r>
        <w:rPr>
          <w:b w:val="0"/>
          <w:i w:val="0"/>
        </w:rPr>
        <w:t xml:space="preserve">The Governance Centre gains a </w:t>
      </w:r>
      <w:r>
        <w:rPr>
          <w:b/>
          <w:i w:val="0"/>
        </w:rPr>
        <w:t>History</w:t>
      </w:r>
      <w:r>
        <w:rPr>
          <w:b w:val="0"/>
          <w:i w:val="0"/>
        </w:rPr>
        <w:t xml:space="preserve"> view for each setting: every value it has held, with its effective dates, who proposed and approved or rejected each change, the reasons, and the documents, newest first. The view can be exported to PDF and Excel, and the same history is a sheet in each month's audit workbook.</w:t>
      </w:r>
    </w:p>
    <w:p>
      <w:pPr>
        <w:pStyle w:val="Heading3"/>
      </w:pPr>
      <w:r>
        <w:t>8.5 A log that cannot be changed quietly</w:t>
      </w:r>
    </w:p>
    <w:p>
      <w:pPr>
        <w:pStyle w:val="ListBullet"/>
        <w:jc w:val="both"/>
      </w:pPr>
      <w:r>
        <w:rPr>
          <w:b w:val="0"/>
          <w:i w:val="0"/>
        </w:rPr>
        <w:t xml:space="preserve">The governance audit entries are </w:t>
      </w:r>
      <w:r>
        <w:rPr>
          <w:b/>
          <w:i w:val="0"/>
        </w:rPr>
        <w:t>append-only</w:t>
      </w:r>
      <w:r>
        <w:rPr>
          <w:b w:val="0"/>
          <w:i w:val="0"/>
        </w:rPr>
        <w:t>. The system has no screen or command to edit or delete them, and the build adds a database guard so that an update or delete on these entries is refused.</w:t>
      </w:r>
    </w:p>
    <w:p>
      <w:pPr>
        <w:pStyle w:val="ListBullet"/>
        <w:jc w:val="both"/>
      </w:pPr>
      <w:r>
        <w:rPr>
          <w:b w:val="0"/>
          <w:i w:val="0"/>
        </w:rPr>
        <w:t xml:space="preserve">Each entry carries the </w:t>
      </w:r>
      <w:r>
        <w:rPr>
          <w:b/>
          <w:i w:val="0"/>
        </w:rPr>
        <w:t>fingerprint of the entry before it</w:t>
      </w:r>
      <w:r>
        <w:rPr>
          <w:b w:val="0"/>
          <w:i w:val="0"/>
        </w:rPr>
        <w:t>, so the entries form a chain. A check (run with the bootstrap's verify step and on demand) recomputes the chain and names the first entry that does not follow. Anyone who changes or removes an entry directly in the database breaks the chain, and the check shows where.</w:t>
      </w:r>
    </w:p>
    <w:p>
      <w:pPr>
        <w:pStyle w:val="Heading3"/>
      </w:pPr>
      <w:r>
        <w:t>8.6 The other approvals in the system</w:t>
      </w:r>
    </w:p>
    <w:p>
      <w:pPr>
        <w:spacing w:after="120"/>
        <w:jc w:val="both"/>
      </w:pPr>
      <w:r>
        <w:rPr>
          <w:b w:val="0"/>
          <w:i w:val="0"/>
        </w:rPr>
        <w:t>Outside the Governance Centre, about twenty other workflows decide something that changes a figure. They already have their own screens, and most already require a second person. Each now gets the same record as the Centre: the events of section 8.2, supporting documents as in section 8.3, a history, and the append-only chained log of section 8.5. The list below is from the code as at 15 October 2026.</w:t>
      </w:r>
    </w:p>
    <w:p>
      <w:pPr>
        <w:spacing w:after="120"/>
        <w:jc w:val="both"/>
      </w:pPr>
      <w:r>
        <w:rPr>
          <w:b/>
          <w:i w:val="0"/>
        </w:rPr>
        <w:t>Policy, rules and models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Staging threshold rows (Staging &amp; SICR Rules)</w:t>
            </w:r>
          </w:p>
        </w:tc>
        <w:tc>
          <w:tcPr>
            <w:tcW w:type="dxa" w:w="1994"/>
          </w:tcPr>
          <w:p>
            <w:r>
              <w:rPr>
                <w:b w:val="0"/>
                <w:sz w:val="17"/>
              </w:rPr>
            </w:r>
            <w:r>
              <w:rPr>
                <w:b w:val="0"/>
                <w:i w:val="0"/>
                <w:sz w:val="17"/>
              </w:rPr>
              <w:t>The day thresholds per facility class</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rebuttal basis for any change to a threshold</w:t>
            </w:r>
          </w:p>
        </w:tc>
      </w:tr>
      <w:tr>
        <w:trPr>
          <w:cantSplit/>
        </w:trPr>
        <w:tc>
          <w:tcPr>
            <w:tcW w:type="dxa" w:w="1994"/>
          </w:tcPr>
          <w:p>
            <w:r>
              <w:rPr>
                <w:b w:val="0"/>
                <w:sz w:val="17"/>
              </w:rPr>
            </w:r>
            <w:r>
              <w:rPr>
                <w:b w:val="0"/>
                <w:i w:val="0"/>
                <w:sz w:val="17"/>
              </w:rPr>
              <w:t>Qualitative SICR register</w:t>
            </w:r>
          </w:p>
        </w:tc>
        <w:tc>
          <w:tcPr>
            <w:tcW w:type="dxa" w:w="1994"/>
          </w:tcPr>
          <w:p>
            <w:r>
              <w:rPr>
                <w:b w:val="0"/>
                <w:sz w:val="17"/>
              </w:rPr>
            </w:r>
            <w:r>
              <w:rPr>
                <w:b w:val="0"/>
                <w:i w:val="0"/>
                <w:sz w:val="17"/>
              </w:rPr>
              <w:t>A trigger that lifts a loan or customer to Stage 2 or 3</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credit report or event behind the trigger</w:t>
            </w:r>
          </w:p>
        </w:tc>
      </w:tr>
      <w:tr>
        <w:trPr>
          <w:cantSplit/>
        </w:trPr>
        <w:tc>
          <w:tcPr>
            <w:tcW w:type="dxa" w:w="1994"/>
          </w:tcPr>
          <w:p>
            <w:r>
              <w:rPr>
                <w:b w:val="0"/>
                <w:sz w:val="17"/>
              </w:rPr>
            </w:r>
            <w:r>
              <w:rPr>
                <w:b/>
                <w:i w:val="0"/>
                <w:sz w:val="17"/>
              </w:rPr>
              <w:t>Fee rulebook</w:t>
            </w:r>
            <w:r>
              <w:rPr>
                <w:b w:val="0"/>
                <w:i w:val="0"/>
                <w:sz w:val="17"/>
              </w:rPr>
              <w:t xml:space="preserve"> (Accounting Rules)</w:t>
            </w:r>
          </w:p>
        </w:tc>
        <w:tc>
          <w:tcPr>
            <w:tcW w:type="dxa" w:w="1994"/>
          </w:tcPr>
          <w:p>
            <w:r>
              <w:rPr>
                <w:b w:val="0"/>
                <w:sz w:val="17"/>
              </w:rPr>
            </w:r>
            <w:r>
              <w:rPr>
                <w:b w:val="0"/>
                <w:i w:val="0"/>
                <w:sz w:val="17"/>
              </w:rPr>
              <w:t>Whether a fee type is integral to the EIR</w:t>
            </w:r>
          </w:p>
        </w:tc>
        <w:tc>
          <w:tcPr>
            <w:tcW w:type="dxa" w:w="1994"/>
          </w:tcPr>
          <w:p>
            <w:r>
              <w:rPr>
                <w:b w:val="0"/>
                <w:sz w:val="17"/>
              </w:rPr>
            </w:r>
            <w:r>
              <w:rPr>
                <w:b w:val="0"/>
                <w:i w:val="0"/>
                <w:sz w:val="17"/>
              </w:rPr>
              <w:t xml:space="preserve">Create, edit, approve, switch on or off; logged. </w:t>
            </w:r>
            <w:r>
              <w:rPr>
                <w:b/>
                <w:i w:val="0"/>
                <w:sz w:val="17"/>
              </w:rPr>
              <w:t>The person who wrote a rule can approve it, no reason is asked, and switching a rule on or off needs no second person</w:t>
            </w:r>
          </w:p>
        </w:tc>
        <w:tc>
          <w:tcPr>
            <w:tcW w:type="dxa" w:w="1994"/>
          </w:tcPr>
          <w:p>
            <w:r>
              <w:rPr>
                <w:b w:val="0"/>
                <w:sz w:val="17"/>
              </w:rPr>
            </w:r>
            <w:r>
              <w:rPr>
                <w:b/>
                <w:i w:val="0"/>
                <w:sz w:val="17"/>
              </w:rPr>
              <w:t>Second-person approval with a reason; reject and withdraw; switching on or off becomes a proposal like any other change</w:t>
            </w:r>
            <w:r>
              <w:rPr>
                <w:b w:val="0"/>
                <w:i w:val="0"/>
                <w:sz w:val="17"/>
              </w:rPr>
              <w:t>; documents; history</w:t>
            </w:r>
          </w:p>
        </w:tc>
        <w:tc>
          <w:tcPr>
            <w:tcW w:type="dxa" w:w="1994"/>
          </w:tcPr>
          <w:p>
            <w:r>
              <w:rPr>
                <w:b w:val="0"/>
                <w:sz w:val="17"/>
              </w:rPr>
            </w:r>
            <w:r>
              <w:rPr>
                <w:b w:val="0"/>
                <w:i w:val="0"/>
                <w:sz w:val="17"/>
              </w:rPr>
              <w:t>Yes: the policy reference or the offer-letter evidence for the fee type</w:t>
            </w:r>
          </w:p>
        </w:tc>
      </w:tr>
      <w:tr>
        <w:trPr>
          <w:cantSplit/>
        </w:trPr>
        <w:tc>
          <w:tcPr>
            <w:tcW w:type="dxa" w:w="1994"/>
          </w:tcPr>
          <w:p>
            <w:r>
              <w:rPr>
                <w:b w:val="0"/>
                <w:sz w:val="17"/>
              </w:rPr>
            </w:r>
            <w:r>
              <w:rPr>
                <w:b w:val="0"/>
                <w:i w:val="0"/>
                <w:sz w:val="17"/>
              </w:rPr>
              <w:t>Fee classification review</w:t>
            </w:r>
          </w:p>
        </w:tc>
        <w:tc>
          <w:tcPr>
            <w:tcW w:type="dxa" w:w="1994"/>
          </w:tcPr>
          <w:p>
            <w:r>
              <w:rPr>
                <w:b w:val="0"/>
                <w:sz w:val="17"/>
              </w:rPr>
            </w:r>
            <w:r>
              <w:rPr>
                <w:b w:val="0"/>
                <w:i w:val="0"/>
                <w:sz w:val="17"/>
              </w:rPr>
              <w:t>Whether each fee line enters the EIR</w:t>
            </w:r>
          </w:p>
        </w:tc>
        <w:tc>
          <w:tcPr>
            <w:tcW w:type="dxa" w:w="1994"/>
          </w:tcPr>
          <w:p>
            <w:r>
              <w:rPr>
                <w:b w:val="0"/>
                <w:sz w:val="17"/>
              </w:rPr>
            </w:r>
            <w:r>
              <w:rPr>
                <w:b w:val="0"/>
                <w:i w:val="0"/>
                <w:sz w:val="17"/>
              </w:rPr>
              <w:t>Classify, then review by a second person; logged</w:t>
            </w:r>
          </w:p>
        </w:tc>
        <w:tc>
          <w:tcPr>
            <w:tcW w:type="dxa" w:w="1994"/>
          </w:tcPr>
          <w:p>
            <w:r>
              <w:rPr>
                <w:b w:val="0"/>
                <w:sz w:val="17"/>
              </w:rPr>
            </w:r>
            <w:r>
              <w:rPr>
                <w:b w:val="0"/>
                <w:i w:val="0"/>
                <w:sz w:val="17"/>
              </w:rPr>
              <w:t>Reject back to the classifier with a reason; documents; history</w:t>
            </w:r>
          </w:p>
        </w:tc>
        <w:tc>
          <w:tcPr>
            <w:tcW w:type="dxa" w:w="1994"/>
          </w:tcPr>
          <w:p>
            <w:r>
              <w:rPr>
                <w:b w:val="0"/>
                <w:sz w:val="17"/>
              </w:rPr>
            </w:r>
            <w:r>
              <w:rPr>
                <w:b w:val="0"/>
                <w:i w:val="0"/>
                <w:sz w:val="17"/>
              </w:rPr>
              <w:t>Only for a line classified against the rulebook's suggestion</w:t>
            </w:r>
          </w:p>
        </w:tc>
      </w:tr>
      <w:tr>
        <w:trPr>
          <w:cantSplit/>
        </w:trPr>
        <w:tc>
          <w:tcPr>
            <w:tcW w:type="dxa" w:w="1994"/>
          </w:tcPr>
          <w:p>
            <w:r>
              <w:rPr>
                <w:b w:val="0"/>
                <w:sz w:val="17"/>
              </w:rPr>
            </w:r>
            <w:r>
              <w:rPr>
                <w:b w:val="0"/>
                <w:i w:val="0"/>
                <w:sz w:val="17"/>
              </w:rPr>
              <w:t>Scenario sets</w:t>
            </w:r>
          </w:p>
        </w:tc>
        <w:tc>
          <w:tcPr>
            <w:tcW w:type="dxa" w:w="1994"/>
          </w:tcPr>
          <w:p>
            <w:r>
              <w:rPr>
                <w:b w:val="0"/>
                <w:sz w:val="17"/>
              </w:rPr>
            </w:r>
            <w:r>
              <w:rPr>
                <w:b w:val="0"/>
                <w:i w:val="0"/>
                <w:sz w:val="17"/>
              </w:rPr>
              <w:t>The economic scenarios and their weights</w:t>
            </w:r>
          </w:p>
        </w:tc>
        <w:tc>
          <w:tcPr>
            <w:tcW w:type="dxa" w:w="1994"/>
          </w:tcPr>
          <w:p>
            <w:r>
              <w:rPr>
                <w:b w:val="0"/>
                <w:sz w:val="17"/>
              </w:rPr>
            </w:r>
            <w:r>
              <w:rPr>
                <w:b w:val="0"/>
                <w:i w:val="0"/>
                <w:sz w:val="17"/>
              </w:rPr>
              <w:t>Propose, approve, lock;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calibration note (already required for a downside scenario)</w:t>
            </w:r>
          </w:p>
        </w:tc>
      </w:tr>
      <w:tr>
        <w:trPr>
          <w:cantSplit/>
        </w:trPr>
        <w:tc>
          <w:tcPr>
            <w:tcW w:type="dxa" w:w="1994"/>
          </w:tcPr>
          <w:p>
            <w:r>
              <w:rPr>
                <w:b w:val="0"/>
                <w:sz w:val="17"/>
              </w:rPr>
            </w:r>
            <w:r>
              <w:rPr>
                <w:b w:val="0"/>
                <w:i w:val="0"/>
                <w:sz w:val="17"/>
              </w:rPr>
              <w:t>Forward-looking overlays</w:t>
            </w:r>
          </w:p>
        </w:tc>
        <w:tc>
          <w:tcPr>
            <w:tcW w:type="dxa" w:w="1994"/>
          </w:tcPr>
          <w:p>
            <w:r>
              <w:rPr>
                <w:b w:val="0"/>
                <w:sz w:val="17"/>
              </w:rPr>
            </w:r>
            <w:r>
              <w:rPr>
                <w:b w:val="0"/>
                <w:i w:val="0"/>
                <w:sz w:val="17"/>
              </w:rPr>
              <w:t>A management adjustment to the forward-looking result</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reason and evidence (already captured as text; now a document as well)</w:t>
            </w:r>
          </w:p>
        </w:tc>
      </w:tr>
      <w:tr>
        <w:trPr>
          <w:cantSplit/>
        </w:trPr>
        <w:tc>
          <w:tcPr>
            <w:tcW w:type="dxa" w:w="1994"/>
          </w:tcPr>
          <w:p>
            <w:r>
              <w:rPr>
                <w:b w:val="0"/>
                <w:sz w:val="17"/>
              </w:rPr>
            </w:r>
            <w:r>
              <w:rPr>
                <w:b w:val="0"/>
                <w:i w:val="0"/>
                <w:sz w:val="17"/>
              </w:rPr>
              <w:t>Forward-looking fits for the route</w:t>
            </w:r>
          </w:p>
        </w:tc>
        <w:tc>
          <w:tcPr>
            <w:tcW w:type="dxa" w:w="1994"/>
          </w:tcPr>
          <w:p>
            <w:r>
              <w:rPr>
                <w:b w:val="0"/>
                <w:sz w:val="17"/>
              </w:rPr>
            </w:r>
            <w:r>
              <w:rPr>
                <w:b w:val="0"/>
                <w:i w:val="0"/>
                <w:sz w:val="17"/>
              </w:rPr>
              <w:t>Which regression drives the adjustment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diagnostics export</w:t>
            </w:r>
          </w:p>
        </w:tc>
      </w:tr>
      <w:tr>
        <w:trPr>
          <w:cantSplit/>
        </w:trPr>
        <w:tc>
          <w:tcPr>
            <w:tcW w:type="dxa" w:w="1994"/>
          </w:tcPr>
          <w:p>
            <w:r>
              <w:rPr>
                <w:b w:val="0"/>
                <w:sz w:val="17"/>
              </w:rPr>
            </w:r>
            <w:r>
              <w:rPr>
                <w:b w:val="0"/>
                <w:i w:val="0"/>
                <w:sz w:val="17"/>
              </w:rPr>
              <w:t>External forward-looking models</w:t>
            </w:r>
          </w:p>
        </w:tc>
        <w:tc>
          <w:tcPr>
            <w:tcW w:type="dxa" w:w="1994"/>
          </w:tcPr>
          <w:p>
            <w:r>
              <w:rPr>
                <w:b w:val="0"/>
                <w:sz w:val="17"/>
              </w:rPr>
            </w:r>
            <w:r>
              <w:rPr>
                <w:b w:val="0"/>
                <w:i w:val="0"/>
                <w:sz w:val="17"/>
              </w:rPr>
              <w:t>A model built outside the system</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model documentation</w:t>
            </w:r>
          </w:p>
        </w:tc>
      </w:tr>
    </w:tbl>
    <w:p/>
    <w:p>
      <w:pPr>
        <w:spacing w:after="120"/>
        <w:jc w:val="both"/>
      </w:pPr>
      <w:r>
        <w:rPr>
          <w:b/>
          <w:i w:val="0"/>
        </w:rPr>
        <w:t>Loan-level decisions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Schedule approval</w:t>
            </w:r>
          </w:p>
        </w:tc>
        <w:tc>
          <w:tcPr>
            <w:tcW w:type="dxa" w:w="1994"/>
          </w:tcPr>
          <w:p>
            <w:r>
              <w:rPr>
                <w:b w:val="0"/>
                <w:sz w:val="17"/>
              </w:rPr>
            </w:r>
            <w:r>
              <w:rPr>
                <w:b w:val="0"/>
                <w:i w:val="0"/>
                <w:sz w:val="17"/>
              </w:rPr>
              <w:t>A loan's contractual schedule for the EIR</w:t>
            </w:r>
          </w:p>
        </w:tc>
        <w:tc>
          <w:tcPr>
            <w:tcW w:type="dxa" w:w="1994"/>
          </w:tcPr>
          <w:p>
            <w:r>
              <w:rPr>
                <w:b w:val="0"/>
                <w:sz w:val="17"/>
              </w:rPr>
            </w:r>
            <w:r>
              <w:rPr>
                <w:b w:val="0"/>
                <w:i w:val="0"/>
                <w:sz w:val="17"/>
              </w:rPr>
              <w:t>Approve; the preparer cannot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EIR lock and reopen</w:t>
            </w:r>
          </w:p>
        </w:tc>
        <w:tc>
          <w:tcPr>
            <w:tcW w:type="dxa" w:w="1994"/>
          </w:tcPr>
          <w:p>
            <w:r>
              <w:rPr>
                <w:b w:val="0"/>
                <w:sz w:val="17"/>
              </w:rPr>
            </w:r>
            <w:r>
              <w:rPr>
                <w:b w:val="0"/>
                <w:i w:val="0"/>
                <w:sz w:val="17"/>
              </w:rPr>
              <w:t>Fixing a loan's EIR; reopening it</w:t>
            </w:r>
          </w:p>
        </w:tc>
        <w:tc>
          <w:tcPr>
            <w:tcW w:type="dxa" w:w="1994"/>
          </w:tcPr>
          <w:p>
            <w:r>
              <w:rPr>
                <w:b w:val="0"/>
                <w:sz w:val="17"/>
              </w:rPr>
            </w:r>
            <w:r>
              <w:rPr>
                <w:b w:val="0"/>
                <w:i w:val="0"/>
                <w:sz w:val="17"/>
              </w:rPr>
              <w:t>Lock with the second-person rule or the governed override; reopen by request, approved or rejected; logged</w:t>
            </w:r>
          </w:p>
        </w:tc>
        <w:tc>
          <w:tcPr>
            <w:tcW w:type="dxa" w:w="1994"/>
          </w:tcPr>
          <w:p>
            <w:r>
              <w:rPr>
                <w:b w:val="0"/>
                <w:sz w:val="17"/>
              </w:rPr>
            </w:r>
            <w:r>
              <w:rPr>
                <w:b w:val="0"/>
                <w:i w:val="0"/>
                <w:sz w:val="17"/>
              </w:rPr>
              <w:t>The lock written to the audit log by the service itself, not only by the screen; documents on a reopen; history</w:t>
            </w:r>
          </w:p>
        </w:tc>
        <w:tc>
          <w:tcPr>
            <w:tcW w:type="dxa" w:w="1994"/>
          </w:tcPr>
          <w:p>
            <w:r>
              <w:rPr>
                <w:b w:val="0"/>
                <w:sz w:val="17"/>
              </w:rPr>
            </w:r>
            <w:r>
              <w:rPr>
                <w:b w:val="0"/>
                <w:i w:val="0"/>
                <w:sz w:val="17"/>
              </w:rPr>
              <w:t>Yes, for a reopen: the reason it was wrong</w:t>
            </w:r>
          </w:p>
        </w:tc>
      </w:tr>
      <w:tr>
        <w:trPr>
          <w:cantSplit/>
        </w:trPr>
        <w:tc>
          <w:tcPr>
            <w:tcW w:type="dxa" w:w="1994"/>
          </w:tcPr>
          <w:p>
            <w:r>
              <w:rPr>
                <w:b w:val="0"/>
                <w:sz w:val="17"/>
              </w:rPr>
            </w:r>
            <w:r>
              <w:rPr>
                <w:b w:val="0"/>
                <w:i w:val="0"/>
                <w:sz w:val="17"/>
              </w:rPr>
              <w:t>Restructure register</w:t>
            </w:r>
          </w:p>
        </w:tc>
        <w:tc>
          <w:tcPr>
            <w:tcW w:type="dxa" w:w="1994"/>
          </w:tcPr>
          <w:p>
            <w:r>
              <w:rPr>
                <w:b w:val="0"/>
                <w:sz w:val="17"/>
              </w:rPr>
            </w:r>
            <w:r>
              <w:rPr>
                <w:b w:val="0"/>
                <w:i w:val="0"/>
                <w:sz w:val="17"/>
              </w:rPr>
              <w:t>A confirmed restructure and its modification accounting</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 xml:space="preserve">Yes: </w:t>
            </w:r>
            <w:r>
              <w:rPr>
                <w:b/>
                <w:i w:val="0"/>
                <w:sz w:val="17"/>
              </w:rPr>
              <w:t>the Board approval the directive requires for a restructure (s.16(1))</w:t>
            </w:r>
          </w:p>
        </w:tc>
      </w:tr>
      <w:tr>
        <w:trPr>
          <w:cantSplit/>
        </w:trPr>
        <w:tc>
          <w:tcPr>
            <w:tcW w:type="dxa" w:w="1994"/>
          </w:tcPr>
          <w:p>
            <w:r>
              <w:rPr>
                <w:b w:val="0"/>
                <w:sz w:val="17"/>
              </w:rPr>
            </w:r>
            <w:r>
              <w:rPr>
                <w:b w:val="0"/>
                <w:i w:val="0"/>
                <w:sz w:val="17"/>
              </w:rPr>
              <w:t>Rate resets</w:t>
            </w:r>
          </w:p>
        </w:tc>
        <w:tc>
          <w:tcPr>
            <w:tcW w:type="dxa" w:w="1994"/>
          </w:tcPr>
          <w:p>
            <w:r>
              <w:rPr>
                <w:b w:val="0"/>
                <w:sz w:val="17"/>
              </w:rPr>
            </w:r>
            <w:r>
              <w:rPr>
                <w:b w:val="0"/>
                <w:i w:val="0"/>
                <w:sz w:val="17"/>
              </w:rPr>
              <w:t>A floating-rate reset event</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history</w:t>
            </w:r>
          </w:p>
        </w:tc>
        <w:tc>
          <w:tcPr>
            <w:tcW w:type="dxa" w:w="1994"/>
          </w:tcPr>
          <w:p>
            <w:r>
              <w:rPr>
                <w:b w:val="0"/>
                <w:sz w:val="17"/>
              </w:rPr>
            </w:r>
            <w:r>
              <w:rPr>
                <w:b w:val="0"/>
                <w:i w:val="0"/>
                <w:sz w:val="17"/>
              </w:rPr>
              <w:t>Yes: the prime-rate notice or the agreement</w:t>
            </w:r>
          </w:p>
        </w:tc>
      </w:tr>
      <w:tr>
        <w:trPr>
          <w:cantSplit/>
        </w:trPr>
        <w:tc>
          <w:tcPr>
            <w:tcW w:type="dxa" w:w="1994"/>
          </w:tcPr>
          <w:p>
            <w:r>
              <w:rPr>
                <w:b w:val="0"/>
                <w:sz w:val="17"/>
              </w:rPr>
            </w:r>
            <w:r>
              <w:rPr>
                <w:b w:val="0"/>
                <w:i w:val="0"/>
                <w:sz w:val="17"/>
              </w:rPr>
              <w:t>Write-off register</w:t>
            </w:r>
          </w:p>
        </w:tc>
        <w:tc>
          <w:tcPr>
            <w:tcW w:type="dxa" w:w="1994"/>
          </w:tcPr>
          <w:p>
            <w:r>
              <w:rPr>
                <w:b w:val="0"/>
                <w:sz w:val="17"/>
              </w:rPr>
            </w:r>
            <w:r>
              <w:rPr>
                <w:b w:val="0"/>
                <w:i w:val="0"/>
                <w:sz w:val="17"/>
              </w:rPr>
              <w:t>Writing a loan off</w:t>
            </w:r>
          </w:p>
        </w:tc>
        <w:tc>
          <w:tcPr>
            <w:tcW w:type="dxa" w:w="1994"/>
          </w:tcPr>
          <w:p>
            <w:r>
              <w:rPr>
                <w:b w:val="0"/>
                <w:sz w:val="17"/>
              </w:rPr>
            </w:r>
            <w:r>
              <w:rPr>
                <w:b w:val="0"/>
                <w:i w:val="0"/>
                <w:sz w:val="17"/>
              </w:rPr>
              <w:t>Propose, approve, reject; second person; logged</w:t>
            </w:r>
          </w:p>
        </w:tc>
        <w:tc>
          <w:tcPr>
            <w:tcW w:type="dxa" w:w="1994"/>
          </w:tcPr>
          <w:p>
            <w:r>
              <w:rPr>
                <w:b w:val="0"/>
                <w:sz w:val="17"/>
              </w:rPr>
            </w:r>
            <w:r>
              <w:rPr>
                <w:b w:val="0"/>
                <w:i w:val="0"/>
                <w:sz w:val="17"/>
              </w:rPr>
              <w:t>Withdraw; documents; history</w:t>
            </w:r>
          </w:p>
        </w:tc>
        <w:tc>
          <w:tcPr>
            <w:tcW w:type="dxa" w:w="1994"/>
          </w:tcPr>
          <w:p>
            <w:r>
              <w:rPr>
                <w:b w:val="0"/>
                <w:sz w:val="17"/>
              </w:rPr>
            </w:r>
            <w:r>
              <w:rPr>
                <w:b w:val="0"/>
                <w:i w:val="0"/>
                <w:sz w:val="17"/>
              </w:rPr>
              <w:t>Yes: the write-off approval under MAIIC's credit policy</w:t>
            </w:r>
          </w:p>
        </w:tc>
      </w:tr>
      <w:tr>
        <w:trPr>
          <w:cantSplit/>
        </w:trPr>
        <w:tc>
          <w:tcPr>
            <w:tcW w:type="dxa" w:w="1994"/>
          </w:tcPr>
          <w:p>
            <w:r>
              <w:rPr>
                <w:b w:val="0"/>
                <w:sz w:val="17"/>
              </w:rPr>
            </w:r>
            <w:r>
              <w:rPr>
                <w:b w:val="0"/>
                <w:i w:val="0"/>
                <w:sz w:val="17"/>
              </w:rPr>
              <w:t>Take-on build</w:t>
            </w:r>
          </w:p>
        </w:tc>
        <w:tc>
          <w:tcPr>
            <w:tcW w:type="dxa" w:w="1994"/>
          </w:tcPr>
          <w:p>
            <w:r>
              <w:rPr>
                <w:b w:val="0"/>
                <w:sz w:val="17"/>
              </w:rPr>
            </w:r>
            <w:r>
              <w:rPr>
                <w:b w:val="0"/>
                <w:i w:val="0"/>
                <w:sz w:val="17"/>
              </w:rPr>
              <w:t>Building the take-on loans from Finance's workbook</w:t>
            </w:r>
          </w:p>
        </w:tc>
        <w:tc>
          <w:tcPr>
            <w:tcW w:type="dxa" w:w="1994"/>
          </w:tcPr>
          <w:p>
            <w:r>
              <w:rPr>
                <w:b w:val="0"/>
                <w:sz w:val="17"/>
              </w:rPr>
            </w:r>
            <w:r>
              <w:rPr>
                <w:b w:val="0"/>
                <w:i w:val="0"/>
                <w:sz w:val="17"/>
              </w:rPr>
              <w:t>Propose, approve; second person; logged</w:t>
            </w:r>
          </w:p>
        </w:tc>
        <w:tc>
          <w:tcPr>
            <w:tcW w:type="dxa" w:w="1994"/>
          </w:tcPr>
          <w:p>
            <w:r>
              <w:rPr>
                <w:b w:val="0"/>
                <w:sz w:val="17"/>
              </w:rPr>
            </w:r>
            <w:r>
              <w:rPr>
                <w:b w:val="0"/>
                <w:i w:val="0"/>
                <w:sz w:val="17"/>
              </w:rPr>
              <w:t>Reject and withdraw; documents (the returned workbook is attached); history</w:t>
            </w:r>
          </w:p>
        </w:tc>
        <w:tc>
          <w:tcPr>
            <w:tcW w:type="dxa" w:w="1994"/>
          </w:tcPr>
          <w:p>
            <w:r>
              <w:rPr>
                <w:b w:val="0"/>
                <w:sz w:val="17"/>
              </w:rPr>
            </w:r>
            <w:r>
              <w:rPr>
                <w:b w:val="0"/>
                <w:i w:val="0"/>
                <w:sz w:val="17"/>
              </w:rPr>
              <w:t>Yes: the workbook version used</w:t>
            </w:r>
          </w:p>
        </w:tc>
      </w:tr>
    </w:tbl>
    <w:p/>
    <w:p>
      <w:pPr>
        <w:spacing w:after="120"/>
        <w:jc w:val="both"/>
      </w:pPr>
      <w:r>
        <w:rPr>
          <w:b/>
          <w:i w:val="0"/>
        </w:rPr>
        <w:t>Month-end controls and sign-offs</w:t>
      </w:r>
    </w:p>
    <w:tbl>
      <w:tblPr>
        <w:tblStyle w:val="TableGrid"/>
        <w:tblW w:type="auto" w:w="0"/>
        <w:tblLook w:firstColumn="1" w:firstRow="1" w:lastColumn="0" w:lastRow="0" w:noHBand="0" w:noVBand="1" w:val="04A0"/>
      </w:tblPr>
      <w:tblGrid>
        <w:gridCol w:w="1994"/>
        <w:gridCol w:w="1994"/>
        <w:gridCol w:w="1994"/>
        <w:gridCol w:w="1994"/>
        <w:gridCol w:w="1994"/>
      </w:tblGrid>
      <w:tr>
        <w:trPr>
          <w:cantSplit/>
          <w:tblHeader/>
        </w:trPr>
        <w:tc>
          <w:tcPr>
            <w:tcW w:type="dxa" w:w="1994"/>
            <w:shd w:val="clear" w:color="auto" w:fill="1B2A41"/>
          </w:tcPr>
          <w:p>
            <w:r>
              <w:rPr>
                <w:b/>
                <w:color w:val="FFFFFF"/>
                <w:sz w:val="17"/>
              </w:rPr>
            </w:r>
            <w:r>
              <w:rPr>
                <w:b/>
                <w:i w:val="0"/>
                <w:color w:val="FFFFFF"/>
                <w:sz w:val="17"/>
              </w:rPr>
              <w:t>Workflow</w:t>
            </w:r>
          </w:p>
        </w:tc>
        <w:tc>
          <w:tcPr>
            <w:tcW w:type="dxa" w:w="1994"/>
            <w:shd w:val="clear" w:color="auto" w:fill="1B2A41"/>
          </w:tcPr>
          <w:p>
            <w:r>
              <w:rPr>
                <w:b/>
                <w:color w:val="FFFFFF"/>
                <w:sz w:val="17"/>
              </w:rPr>
            </w:r>
            <w:r>
              <w:rPr>
                <w:b/>
                <w:i w:val="0"/>
                <w:color w:val="FFFFFF"/>
                <w:sz w:val="17"/>
              </w:rPr>
              <w:t>What it decides</w:t>
            </w:r>
          </w:p>
        </w:tc>
        <w:tc>
          <w:tcPr>
            <w:tcW w:type="dxa" w:w="1994"/>
            <w:shd w:val="clear" w:color="auto" w:fill="1B2A41"/>
          </w:tcPr>
          <w:p>
            <w:r>
              <w:rPr>
                <w:b/>
                <w:color w:val="FFFFFF"/>
                <w:sz w:val="17"/>
              </w:rPr>
            </w:r>
            <w:r>
              <w:rPr>
                <w:b/>
                <w:i w:val="0"/>
                <w:color w:val="FFFFFF"/>
                <w:sz w:val="17"/>
              </w:rPr>
              <w:t>Today</w:t>
            </w:r>
          </w:p>
        </w:tc>
        <w:tc>
          <w:tcPr>
            <w:tcW w:type="dxa" w:w="1994"/>
            <w:shd w:val="clear" w:color="auto" w:fill="1B2A41"/>
          </w:tcPr>
          <w:p>
            <w:r>
              <w:rPr>
                <w:b/>
                <w:color w:val="FFFFFF"/>
                <w:sz w:val="17"/>
              </w:rPr>
            </w:r>
            <w:r>
              <w:rPr>
                <w:b/>
                <w:i w:val="0"/>
                <w:color w:val="FFFFFF"/>
                <w:sz w:val="17"/>
              </w:rPr>
              <w:t>What changes</w:t>
            </w:r>
          </w:p>
        </w:tc>
        <w:tc>
          <w:tcPr>
            <w:tcW w:type="dxa" w:w="1994"/>
            <w:shd w:val="clear" w:color="auto" w:fill="1B2A41"/>
          </w:tcPr>
          <w:p>
            <w:r>
              <w:rPr>
                <w:b/>
                <w:color w:val="FFFFFF"/>
                <w:sz w:val="17"/>
              </w:rPr>
            </w:r>
            <w:r>
              <w:rPr>
                <w:b/>
                <w:i w:val="0"/>
                <w:color w:val="FFFFFF"/>
                <w:sz w:val="17"/>
              </w:rPr>
              <w:t>Evidence required to approve</w:t>
            </w:r>
          </w:p>
        </w:tc>
      </w:tr>
      <w:tr>
        <w:trPr>
          <w:cantSplit/>
        </w:trPr>
        <w:tc>
          <w:tcPr>
            <w:tcW w:type="dxa" w:w="1994"/>
          </w:tcPr>
          <w:p>
            <w:r>
              <w:rPr>
                <w:b w:val="0"/>
                <w:sz w:val="17"/>
              </w:rPr>
            </w:r>
            <w:r>
              <w:rPr>
                <w:b w:val="0"/>
                <w:i w:val="0"/>
                <w:sz w:val="17"/>
              </w:rPr>
              <w:t>Loan book build</w:t>
            </w:r>
          </w:p>
        </w:tc>
        <w:tc>
          <w:tcPr>
            <w:tcW w:type="dxa" w:w="1994"/>
          </w:tcPr>
          <w:p>
            <w:r>
              <w:rPr>
                <w:b w:val="0"/>
                <w:sz w:val="17"/>
              </w:rPr>
            </w:r>
            <w:r>
              <w:rPr>
                <w:b w:val="0"/>
                <w:i w:val="0"/>
                <w:sz w:val="17"/>
              </w:rPr>
              <w:t>Accepting a month's built loan book</w:t>
            </w:r>
          </w:p>
        </w:tc>
        <w:tc>
          <w:tcPr>
            <w:tcW w:type="dxa" w:w="1994"/>
          </w:tcPr>
          <w:p>
            <w:r>
              <w:rPr>
                <w:b w:val="0"/>
                <w:sz w:val="17"/>
              </w:rPr>
            </w:r>
            <w:r>
              <w:rPr>
                <w:b w:val="0"/>
                <w:i w:val="0"/>
                <w:sz w:val="17"/>
              </w:rPr>
              <w:t>Approve, reject; logged</w:t>
            </w:r>
          </w:p>
        </w:tc>
        <w:tc>
          <w:tcPr>
            <w:tcW w:type="dxa" w:w="1994"/>
          </w:tcPr>
          <w:p>
            <w:r>
              <w:rPr>
                <w:b w:val="0"/>
                <w:sz w:val="17"/>
              </w:rPr>
            </w:r>
            <w:r>
              <w:rPr>
                <w:b w:val="0"/>
                <w:i w:val="0"/>
                <w:sz w:val="17"/>
              </w:rPr>
              <w:t>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Period lock and unlock</w:t>
            </w:r>
          </w:p>
        </w:tc>
        <w:tc>
          <w:tcPr>
            <w:tcW w:type="dxa" w:w="1994"/>
          </w:tcPr>
          <w:p>
            <w:r>
              <w:rPr>
                <w:b w:val="0"/>
                <w:sz w:val="17"/>
              </w:rPr>
            </w:r>
            <w:r>
              <w:rPr>
                <w:b w:val="0"/>
                <w:i w:val="0"/>
                <w:sz w:val="17"/>
              </w:rPr>
              <w:t>Closing a month; reopening a closed one</w:t>
            </w:r>
          </w:p>
        </w:tc>
        <w:tc>
          <w:tcPr>
            <w:tcW w:type="dxa" w:w="1994"/>
          </w:tcPr>
          <w:p>
            <w:r>
              <w:rPr>
                <w:b w:val="0"/>
                <w:sz w:val="17"/>
              </w:rPr>
            </w:r>
            <w:r>
              <w:rPr>
                <w:b w:val="0"/>
                <w:i w:val="0"/>
                <w:sz w:val="17"/>
              </w:rPr>
              <w:t>Lock; unlock by request, approved or rejected; second person; logged</w:t>
            </w:r>
          </w:p>
        </w:tc>
        <w:tc>
          <w:tcPr>
            <w:tcW w:type="dxa" w:w="1994"/>
          </w:tcPr>
          <w:p>
            <w:r>
              <w:rPr>
                <w:b w:val="0"/>
                <w:sz w:val="17"/>
              </w:rPr>
            </w:r>
            <w:r>
              <w:rPr>
                <w:b w:val="0"/>
                <w:i w:val="0"/>
                <w:sz w:val="17"/>
              </w:rPr>
              <w:t>Documents on an unlock; history</w:t>
            </w:r>
          </w:p>
        </w:tc>
        <w:tc>
          <w:tcPr>
            <w:tcW w:type="dxa" w:w="1994"/>
          </w:tcPr>
          <w:p>
            <w:r>
              <w:rPr>
                <w:b w:val="0"/>
                <w:sz w:val="17"/>
              </w:rPr>
            </w:r>
            <w:r>
              <w:rPr>
                <w:b w:val="0"/>
                <w:i w:val="0"/>
                <w:sz w:val="17"/>
              </w:rPr>
              <w:t>Yes, for an unlock: the reason and the approval to restate</w:t>
            </w:r>
          </w:p>
        </w:tc>
      </w:tr>
      <w:tr>
        <w:trPr>
          <w:cantSplit/>
        </w:trPr>
        <w:tc>
          <w:tcPr>
            <w:tcW w:type="dxa" w:w="1994"/>
          </w:tcPr>
          <w:p>
            <w:r>
              <w:rPr>
                <w:b w:val="0"/>
                <w:sz w:val="17"/>
              </w:rPr>
            </w:r>
            <w:r>
              <w:rPr>
                <w:b w:val="0"/>
                <w:i w:val="0"/>
                <w:sz w:val="17"/>
              </w:rPr>
              <w:t>Compliance audit sign-offs</w:t>
            </w:r>
          </w:p>
        </w:tc>
        <w:tc>
          <w:tcPr>
            <w:tcW w:type="dxa" w:w="1994"/>
          </w:tcPr>
          <w:p>
            <w:r>
              <w:rPr>
                <w:b w:val="0"/>
                <w:sz w:val="17"/>
              </w:rPr>
            </w:r>
            <w:r>
              <w:rPr>
                <w:b w:val="0"/>
                <w:i w:val="0"/>
                <w:sz w:val="17"/>
              </w:rPr>
              <w:t>A reviewer's sign-off of an audit row</w:t>
            </w:r>
          </w:p>
        </w:tc>
        <w:tc>
          <w:tcPr>
            <w:tcW w:type="dxa" w:w="1994"/>
          </w:tcPr>
          <w:p>
            <w:r>
              <w:rPr>
                <w:b w:val="0"/>
                <w:sz w:val="17"/>
              </w:rPr>
            </w:r>
            <w:r>
              <w:rPr>
                <w:b w:val="0"/>
                <w:i w:val="0"/>
                <w:sz w:val="17"/>
              </w:rPr>
              <w:t>Sign and approve; logged</w:t>
            </w:r>
          </w:p>
        </w:tc>
        <w:tc>
          <w:tcPr>
            <w:tcW w:type="dxa" w:w="1994"/>
          </w:tcPr>
          <w:p>
            <w:r>
              <w:rPr>
                <w:b w:val="0"/>
                <w:sz w:val="17"/>
              </w:rPr>
            </w:r>
            <w:r>
              <w:rPr>
                <w:b w:val="0"/>
                <w:i w:val="0"/>
                <w:sz w:val="17"/>
              </w:rPr>
              <w:t>Reject with a reason; documents; history</w:t>
            </w:r>
          </w:p>
        </w:tc>
        <w:tc>
          <w:tcPr>
            <w:tcW w:type="dxa" w:w="1994"/>
          </w:tcPr>
          <w:p>
            <w:r>
              <w:rPr>
                <w:b w:val="0"/>
                <w:sz w:val="17"/>
              </w:rPr>
            </w:r>
            <w:r>
              <w:rPr>
                <w:b w:val="0"/>
                <w:i w:val="0"/>
                <w:sz w:val="17"/>
              </w:rPr>
              <w:t>No</w:t>
            </w:r>
          </w:p>
        </w:tc>
      </w:tr>
      <w:tr>
        <w:trPr>
          <w:cantSplit/>
        </w:trPr>
        <w:tc>
          <w:tcPr>
            <w:tcW w:type="dxa" w:w="1994"/>
          </w:tcPr>
          <w:p>
            <w:r>
              <w:rPr>
                <w:b w:val="0"/>
                <w:sz w:val="17"/>
              </w:rPr>
            </w:r>
            <w:r>
              <w:rPr>
                <w:b w:val="0"/>
                <w:i w:val="0"/>
                <w:sz w:val="17"/>
              </w:rPr>
              <w:t>Macro data overrides</w:t>
            </w:r>
          </w:p>
        </w:tc>
        <w:tc>
          <w:tcPr>
            <w:tcW w:type="dxa" w:w="1994"/>
          </w:tcPr>
          <w:p>
            <w:r>
              <w:rPr>
                <w:b w:val="0"/>
                <w:sz w:val="17"/>
              </w:rPr>
            </w:r>
            <w:r>
              <w:rPr>
                <w:b w:val="0"/>
                <w:i w:val="0"/>
                <w:sz w:val="17"/>
              </w:rPr>
              <w:t>A manual value replacing an imported one</w:t>
            </w:r>
          </w:p>
        </w:tc>
        <w:tc>
          <w:tcPr>
            <w:tcW w:type="dxa" w:w="1994"/>
          </w:tcPr>
          <w:p>
            <w:r>
              <w:rPr>
                <w:b w:val="0"/>
                <w:sz w:val="17"/>
              </w:rPr>
            </w:r>
            <w:r>
              <w:rPr>
                <w:b w:val="0"/>
                <w:i w:val="0"/>
                <w:sz w:val="17"/>
              </w:rPr>
              <w:t>Entered with a reason; logged</w:t>
            </w:r>
          </w:p>
        </w:tc>
        <w:tc>
          <w:tcPr>
            <w:tcW w:type="dxa" w:w="1994"/>
          </w:tcPr>
          <w:p>
            <w:r>
              <w:rPr>
                <w:b w:val="0"/>
                <w:sz w:val="17"/>
              </w:rPr>
            </w:r>
            <w:r>
              <w:rPr>
                <w:b w:val="0"/>
                <w:i w:val="0"/>
                <w:sz w:val="17"/>
              </w:rPr>
              <w:t>Second-person approval; documents; history</w:t>
            </w:r>
          </w:p>
        </w:tc>
        <w:tc>
          <w:tcPr>
            <w:tcW w:type="dxa" w:w="1994"/>
          </w:tcPr>
          <w:p>
            <w:r>
              <w:rPr>
                <w:b w:val="0"/>
                <w:sz w:val="17"/>
              </w:rPr>
            </w:r>
            <w:r>
              <w:rPr>
                <w:b w:val="0"/>
                <w:i w:val="0"/>
                <w:sz w:val="17"/>
              </w:rPr>
              <w:t>Yes: the source of the value</w:t>
            </w:r>
          </w:p>
        </w:tc>
      </w:tr>
    </w:tbl>
    <w:p/>
    <w:p>
      <w:pPr>
        <w:pStyle w:val="Heading3"/>
      </w:pPr>
      <w:r>
        <w:t>8.7 One register of approvals</w:t>
      </w:r>
    </w:p>
    <w:p>
      <w:pPr>
        <w:spacing w:after="120"/>
        <w:jc w:val="both"/>
      </w:pPr>
      <w:r>
        <w:rPr>
          <w:b w:val="0"/>
          <w:i w:val="0"/>
        </w:rPr>
        <w:t xml:space="preserve">The Governance Centre gains an </w:t>
      </w:r>
      <w:r>
        <w:rPr>
          <w:b/>
          <w:i w:val="0"/>
        </w:rPr>
        <w:t>Approvals</w:t>
      </w:r>
      <w:r>
        <w:rPr>
          <w:b w:val="0"/>
          <w:i w:val="0"/>
        </w:rPr>
        <w:t xml:space="preserve"> view across all of the above and the Centre's own settings: everything awaiting a decision, with who proposed it and when; and everything decided, with the decision, the reasons and the documents. It filters by workflow, person, status and date, exports to PDF and Excel, and is included in the auditor's pack. One shared document store serves every workflow, so a minute attached once can be linked to the several decisions it covers.</w:t>
      </w:r>
    </w:p>
    <w:p>
      <w:pPr>
        <w:pStyle w:val="Heading3"/>
      </w:pPr>
      <w:r>
        <w:t>8.8 The record of what each month ran on</w:t>
      </w:r>
    </w:p>
    <w:p>
      <w:pPr>
        <w:spacing w:after="120"/>
        <w:jc w:val="both"/>
      </w:pPr>
      <w:r>
        <w:rPr>
          <w:b w:val="0"/>
          <w:i w:val="0"/>
        </w:rPr>
        <w:t>An auditor looking at a month a year later needs to know exactly what that month's figures were computed with: which settings, rules, models, data and code. Today that can only be partly reconstructed:</w:t>
      </w:r>
    </w:p>
    <w:p>
      <w:pPr>
        <w:pStyle w:val="ListBullet"/>
        <w:jc w:val="both"/>
      </w:pPr>
      <w:r>
        <w:rPr>
          <w:b w:val="0"/>
          <w:i w:val="0"/>
        </w:rPr>
        <w:t xml:space="preserve">The settings can be looked up by their effective dates, but </w:t>
      </w:r>
      <w:r>
        <w:rPr>
          <w:b/>
          <w:i w:val="0"/>
        </w:rPr>
        <w:t>a setting can be back-dated into a locked month</w:t>
      </w:r>
      <w:r>
        <w:rPr>
          <w:b w:val="0"/>
          <w:i w:val="0"/>
        </w:rPr>
        <w:t>. The only date rule is that a change must be later than the setting's last approved change, so a setting unchanged since installation could today be given an effective date of 1 March 2025. March 2025 stays locked and its figures do not move, but a lookup for March would now return the new value, not the one March ran on.</w:t>
      </w:r>
    </w:p>
    <w:p>
      <w:pPr>
        <w:pStyle w:val="ListBullet"/>
        <w:jc w:val="both"/>
      </w:pPr>
      <w:r>
        <w:rPr>
          <w:b w:val="0"/>
          <w:i w:val="0"/>
        </w:rPr>
        <w:t xml:space="preserve">A month can be built and run several times before it is locked, and </w:t>
      </w:r>
      <w:r>
        <w:rPr>
          <w:b/>
          <w:i w:val="0"/>
        </w:rPr>
        <w:t>nothing marks which run produced the reported figures</w:t>
      </w:r>
      <w:r>
        <w:rPr>
          <w:b w:val="0"/>
          <w:i w:val="0"/>
        </w:rPr>
        <w:t>.</w:t>
      </w:r>
    </w:p>
    <w:p>
      <w:pPr>
        <w:pStyle w:val="ListBullet"/>
        <w:jc w:val="both"/>
      </w:pPr>
      <w:r>
        <w:rPr>
          <w:b w:val="0"/>
          <w:i w:val="0"/>
        </w:rPr>
        <w:t>The figures also depend on inputs held outside the Governance Centre: the staging threshold rows, the approved fee rules, the scenario set, the overlays, the forward-looking model, the query versions, the data loads and the code. The loan book build records its data loads and the forward-looking module already snapshots its own inputs each month (</w:t>
      </w:r>
      <w:r>
        <w:rPr>
          <w:rFonts w:ascii="Consolas" w:hAnsi="Consolas"/>
          <w:b w:val="0"/>
          <w:i w:val="0"/>
          <w:sz w:val="18"/>
        </w:rPr>
        <w:t>fli_run_snapshots</w:t>
      </w:r>
      <w:r>
        <w:rPr>
          <w:b w:val="0"/>
          <w:i w:val="0"/>
        </w:rPr>
        <w:t>), but nothing brings them together.</w:t>
      </w:r>
    </w:p>
    <w:p>
      <w:pPr>
        <w:spacing w:after="120"/>
        <w:jc w:val="both"/>
      </w:pPr>
      <w:r>
        <w:rPr>
          <w:b w:val="0"/>
          <w:i w:val="0"/>
        </w:rPr>
        <w:t>The following closes those gaps.</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Change</w:t>
            </w:r>
          </w:p>
        </w:tc>
        <w:tc>
          <w:tcPr>
            <w:tcW w:type="dxa" w:w="3324"/>
            <w:shd w:val="clear" w:color="auto" w:fill="1B2A41"/>
          </w:tcPr>
          <w:p>
            <w:r>
              <w:rPr>
                <w:b/>
                <w:color w:val="FFFFFF"/>
                <w:sz w:val="17"/>
              </w:rPr>
            </w:r>
            <w:r>
              <w:rPr>
                <w:b/>
                <w:i w:val="0"/>
                <w:color w:val="FFFFFF"/>
                <w:sz w:val="17"/>
              </w:rPr>
              <w:t>What it gives the auditor</w:t>
            </w:r>
          </w:p>
        </w:tc>
      </w:tr>
      <w:tr>
        <w:trPr>
          <w:cantSplit/>
        </w:trPr>
        <w:tc>
          <w:tcPr>
            <w:tcW w:type="dxa" w:w="3324"/>
          </w:tcPr>
          <w:p>
            <w:r>
              <w:rPr>
                <w:b w:val="0"/>
                <w:sz w:val="17"/>
              </w:rPr>
            </w:r>
            <w:r>
              <w:rPr>
                <w:b w:val="0"/>
                <w:i w:val="0"/>
                <w:sz w:val="17"/>
              </w:rPr>
              <w:t>1</w:t>
            </w:r>
          </w:p>
        </w:tc>
        <w:tc>
          <w:tcPr>
            <w:tcW w:type="dxa" w:w="3324"/>
          </w:tcPr>
          <w:p>
            <w:r>
              <w:rPr>
                <w:b w:val="0"/>
                <w:sz w:val="17"/>
              </w:rPr>
            </w:r>
            <w:r>
              <w:rPr>
                <w:b/>
                <w:i w:val="0"/>
                <w:sz w:val="17"/>
              </w:rPr>
              <w:t>A run record for every month-end run.</w:t>
            </w:r>
            <w:r>
              <w:rPr>
                <w:b w:val="0"/>
                <w:i w:val="0"/>
                <w:sz w:val="17"/>
              </w:rPr>
              <w:t xml:space="preserve"> Who ran it, when, the code version (the repository commit) and a </w:t>
            </w:r>
            <w:r>
              <w:rPr>
                <w:b/>
                <w:i w:val="0"/>
                <w:sz w:val="17"/>
              </w:rPr>
              <w:t>frozen snapshot of every input</w:t>
            </w:r>
            <w:r>
              <w:rPr>
                <w:b w:val="0"/>
                <w:i w:val="0"/>
                <w:sz w:val="17"/>
              </w:rPr>
              <w:t>: each Governance Centre setting with its value, effective date, proposer and approver; the staging threshold rows; the fee rules in use with their approvals; the scenario set and version; the overlays; the forward-looking model version and the forward-looking snapshot; the query register versions; the data loads with their watermarks; and the loan book build. The snapshot is fingerprinted.</w:t>
            </w:r>
          </w:p>
        </w:tc>
        <w:tc>
          <w:tcPr>
            <w:tcW w:type="dxa" w:w="3324"/>
          </w:tcPr>
          <w:p>
            <w:r>
              <w:rPr>
                <w:b w:val="0"/>
                <w:sz w:val="17"/>
              </w:rPr>
            </w:r>
            <w:r>
              <w:rPr>
                <w:b w:val="0"/>
                <w:i w:val="0"/>
                <w:sz w:val="17"/>
              </w:rPr>
              <w:t>Exactly what the month ran on, in one place, as it was at the time</w:t>
            </w:r>
          </w:p>
        </w:tc>
      </w:tr>
      <w:tr>
        <w:trPr>
          <w:cantSplit/>
        </w:trPr>
        <w:tc>
          <w:tcPr>
            <w:tcW w:type="dxa" w:w="3324"/>
          </w:tcPr>
          <w:p>
            <w:r>
              <w:rPr>
                <w:b w:val="0"/>
                <w:sz w:val="17"/>
              </w:rPr>
            </w:r>
            <w:r>
              <w:rPr>
                <w:b w:val="0"/>
                <w:i w:val="0"/>
                <w:sz w:val="17"/>
              </w:rPr>
              <w:t>2</w:t>
            </w:r>
          </w:p>
        </w:tc>
        <w:tc>
          <w:tcPr>
            <w:tcW w:type="dxa" w:w="3324"/>
          </w:tcPr>
          <w:p>
            <w:r>
              <w:rPr>
                <w:b w:val="0"/>
                <w:sz w:val="17"/>
              </w:rPr>
            </w:r>
            <w:r>
              <w:rPr>
                <w:b/>
                <w:i w:val="0"/>
                <w:sz w:val="17"/>
              </w:rPr>
              <w:t>Every result row carries its run number.</w:t>
            </w:r>
            <w:r>
              <w:rPr>
                <w:b w:val="0"/>
                <w:i w:val="0"/>
                <w:sz w:val="17"/>
              </w:rPr>
              <w:t xml:space="preserve"> Loan book, stage, PD, LGD, ECL, revenue and Mega Farm rows record the run that wrote them.</w:t>
            </w:r>
          </w:p>
        </w:tc>
        <w:tc>
          <w:tcPr>
            <w:tcW w:type="dxa" w:w="3324"/>
          </w:tcPr>
          <w:p>
            <w:r>
              <w:rPr>
                <w:b w:val="0"/>
                <w:sz w:val="17"/>
              </w:rPr>
            </w:r>
            <w:r>
              <w:rPr>
                <w:b w:val="0"/>
                <w:i w:val="0"/>
                <w:sz w:val="17"/>
              </w:rPr>
              <w:t>A trace from any loan's figure to its run and that run's snapshot</w:t>
            </w:r>
          </w:p>
        </w:tc>
      </w:tr>
      <w:tr>
        <w:trPr>
          <w:cantSplit/>
        </w:trPr>
        <w:tc>
          <w:tcPr>
            <w:tcW w:type="dxa" w:w="3324"/>
          </w:tcPr>
          <w:p>
            <w:r>
              <w:rPr>
                <w:b w:val="0"/>
                <w:sz w:val="17"/>
              </w:rPr>
            </w:r>
            <w:r>
              <w:rPr>
                <w:b w:val="0"/>
                <w:i w:val="0"/>
                <w:sz w:val="17"/>
              </w:rPr>
              <w:t>3</w:t>
            </w:r>
          </w:p>
        </w:tc>
        <w:tc>
          <w:tcPr>
            <w:tcW w:type="dxa" w:w="3324"/>
          </w:tcPr>
          <w:p>
            <w:r>
              <w:rPr>
                <w:b w:val="0"/>
                <w:sz w:val="17"/>
              </w:rPr>
            </w:r>
            <w:r>
              <w:rPr>
                <w:b/>
                <w:i w:val="0"/>
                <w:sz w:val="17"/>
              </w:rPr>
              <w:t>The lock names the run of record.</w:t>
            </w:r>
            <w:r>
              <w:rPr>
                <w:b w:val="0"/>
                <w:i w:val="0"/>
                <w:sz w:val="17"/>
              </w:rPr>
              <w:t xml:space="preserve"> Locking a month records which run produced the reported figures. Earlier runs of the month are kept and marked superseded.</w:t>
            </w:r>
          </w:p>
        </w:tc>
        <w:tc>
          <w:tcPr>
            <w:tcW w:type="dxa" w:w="3324"/>
          </w:tcPr>
          <w:p>
            <w:r>
              <w:rPr>
                <w:b w:val="0"/>
                <w:sz w:val="17"/>
              </w:rPr>
            </w:r>
            <w:r>
              <w:rPr>
                <w:b w:val="0"/>
                <w:i w:val="0"/>
                <w:sz w:val="17"/>
              </w:rPr>
              <w:t>No doubt about which run the reported figures came from</w:t>
            </w:r>
          </w:p>
        </w:tc>
      </w:tr>
      <w:tr>
        <w:trPr>
          <w:cantSplit/>
        </w:trPr>
        <w:tc>
          <w:tcPr>
            <w:tcW w:type="dxa" w:w="3324"/>
          </w:tcPr>
          <w:p>
            <w:r>
              <w:rPr>
                <w:b w:val="0"/>
                <w:sz w:val="17"/>
              </w:rPr>
            </w:r>
            <w:r>
              <w:rPr>
                <w:b w:val="0"/>
                <w:i w:val="0"/>
                <w:sz w:val="17"/>
              </w:rPr>
              <w:t>4</w:t>
            </w:r>
          </w:p>
        </w:tc>
        <w:tc>
          <w:tcPr>
            <w:tcW w:type="dxa" w:w="3324"/>
          </w:tcPr>
          <w:p>
            <w:r>
              <w:rPr>
                <w:b w:val="0"/>
                <w:sz w:val="17"/>
              </w:rPr>
            </w:r>
            <w:r>
              <w:rPr>
                <w:b/>
                <w:i w:val="0"/>
                <w:sz w:val="17"/>
              </w:rPr>
              <w:t>No back-dating into a locked month.</w:t>
            </w:r>
            <w:r>
              <w:rPr>
                <w:b w:val="0"/>
                <w:i w:val="0"/>
                <w:sz w:val="17"/>
              </w:rPr>
              <w:t xml:space="preserve"> A change to any governed setting or rule cannot take effect inside a locked month unless it goes through the reopen-and-restate approval (section 8.6, period lock and unlock) with its documents.</w:t>
            </w:r>
          </w:p>
        </w:tc>
        <w:tc>
          <w:tcPr>
            <w:tcW w:type="dxa" w:w="3324"/>
          </w:tcPr>
          <w:p>
            <w:r>
              <w:rPr>
                <w:b w:val="0"/>
                <w:sz w:val="17"/>
              </w:rPr>
            </w:r>
            <w:r>
              <w:rPr>
                <w:b w:val="0"/>
                <w:i w:val="0"/>
                <w:sz w:val="17"/>
              </w:rPr>
              <w:t>The settings looked up for a locked month can never change</w:t>
            </w:r>
          </w:p>
        </w:tc>
      </w:tr>
      <w:tr>
        <w:trPr>
          <w:cantSplit/>
        </w:trPr>
        <w:tc>
          <w:tcPr>
            <w:tcW w:type="dxa" w:w="3324"/>
          </w:tcPr>
          <w:p>
            <w:r>
              <w:rPr>
                <w:b w:val="0"/>
                <w:sz w:val="17"/>
              </w:rPr>
            </w:r>
            <w:r>
              <w:rPr>
                <w:b w:val="0"/>
                <w:i w:val="0"/>
                <w:sz w:val="17"/>
              </w:rPr>
              <w:t>5</w:t>
            </w:r>
          </w:p>
        </w:tc>
        <w:tc>
          <w:tcPr>
            <w:tcW w:type="dxa" w:w="3324"/>
          </w:tcPr>
          <w:p>
            <w:r>
              <w:rPr>
                <w:b w:val="0"/>
                <w:sz w:val="17"/>
              </w:rPr>
            </w:r>
            <w:r>
              <w:rPr>
                <w:b/>
                <w:i w:val="0"/>
                <w:sz w:val="17"/>
              </w:rPr>
              <w:t>"Settings in force" and "What changed".</w:t>
            </w:r>
            <w:r>
              <w:rPr>
                <w:b w:val="0"/>
                <w:i w:val="0"/>
                <w:sz w:val="17"/>
              </w:rPr>
              <w:t xml:space="preserve"> For any month, a report of everything in its run record; and a comparison of two months showing every setting, rule, model, data load and code change between them. Both export to PDF and Excel and are sheets in the month's audit workbook and the auditor's pack.</w:t>
            </w:r>
          </w:p>
        </w:tc>
        <w:tc>
          <w:tcPr>
            <w:tcW w:type="dxa" w:w="3324"/>
          </w:tcPr>
          <w:p>
            <w:r>
              <w:rPr>
                <w:b w:val="0"/>
                <w:sz w:val="17"/>
              </w:rPr>
            </w:r>
            <w:r>
              <w:rPr>
                <w:b w:val="0"/>
                <w:i w:val="0"/>
                <w:sz w:val="17"/>
              </w:rPr>
              <w:t>The auditor reads the record instead of reconstructing it</w:t>
            </w:r>
          </w:p>
        </w:tc>
      </w:tr>
      <w:tr>
        <w:trPr>
          <w:cantSplit/>
        </w:trPr>
        <w:tc>
          <w:tcPr>
            <w:tcW w:type="dxa" w:w="3324"/>
          </w:tcPr>
          <w:p>
            <w:r>
              <w:rPr>
                <w:b w:val="0"/>
                <w:sz w:val="17"/>
              </w:rPr>
            </w:r>
            <w:r>
              <w:rPr>
                <w:b w:val="0"/>
                <w:i w:val="0"/>
                <w:sz w:val="17"/>
              </w:rPr>
              <w:t>6</w:t>
            </w:r>
          </w:p>
        </w:tc>
        <w:tc>
          <w:tcPr>
            <w:tcW w:type="dxa" w:w="3324"/>
          </w:tcPr>
          <w:p>
            <w:r>
              <w:rPr>
                <w:b w:val="0"/>
                <w:sz w:val="17"/>
              </w:rPr>
            </w:r>
            <w:r>
              <w:rPr>
                <w:b/>
                <w:i w:val="0"/>
                <w:sz w:val="17"/>
              </w:rPr>
              <w:t>Re-performance.</w:t>
            </w:r>
            <w:r>
              <w:rPr>
                <w:b w:val="0"/>
                <w:i w:val="0"/>
                <w:sz w:val="17"/>
              </w:rPr>
              <w:t xml:space="preserve"> A locked month can be re-run from its frozen snapshot into a separate workspace, with the comparison-run machinery of section 4, and the result checked against the stored figures, loan by loan.</w:t>
            </w:r>
          </w:p>
        </w:tc>
        <w:tc>
          <w:tcPr>
            <w:tcW w:type="dxa" w:w="3324"/>
          </w:tcPr>
          <w:p>
            <w:r>
              <w:rPr>
                <w:b w:val="0"/>
                <w:sz w:val="17"/>
              </w:rPr>
            </w:r>
            <w:r>
              <w:rPr>
                <w:b w:val="0"/>
                <w:i w:val="0"/>
                <w:sz w:val="17"/>
              </w:rPr>
              <w:t>Proof that the reported figures can be reproduced, not only stated</w:t>
            </w:r>
          </w:p>
        </w:tc>
      </w:tr>
    </w:tbl>
    <w:p/>
    <w:p>
      <w:pPr>
        <w:spacing w:after="120"/>
        <w:jc w:val="both"/>
      </w:pPr>
      <w:r>
        <w:rPr>
          <w:b/>
          <w:i w:val="0"/>
        </w:rPr>
        <w:t>Where this applies.</w:t>
      </w:r>
      <w:r>
        <w:rPr>
          <w:b w:val="0"/>
          <w:i w:val="0"/>
        </w:rPr>
        <w:t xml:space="preserve"> Every engine of the month-end (build, staging, PD and LGD, ECL, forward-looking route, scenarios, Mega Farm, revenue, reports) writes into the one run record of the month-end job. A run outside the month-end job (an engine run by hand on a screen) gets a run record of its own, marked as such, and can never be the run of record.</w:t>
      </w:r>
    </w:p>
    <w:p>
      <w:pPr>
        <w:spacing w:after="120"/>
        <w:jc w:val="both"/>
      </w:pPr>
      <w:r>
        <w:rPr>
          <w:b/>
          <w:i w:val="0"/>
        </w:rPr>
        <w:t>The bootstrap.</w:t>
      </w:r>
      <w:r>
        <w:rPr>
          <w:b w:val="0"/>
          <w:i w:val="0"/>
        </w:rPr>
        <w:t xml:space="preserve"> Each bootstrap run also writes run records, labelled as bootstrap runs, so the regression check can compare a rebuilt month with the record of the previous rebuild.</w:t>
      </w:r>
    </w:p>
    <w:p>
      <w:pPr>
        <w:pStyle w:val="Heading2"/>
      </w:pPr>
      <w:r>
        <w:t>9.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r>
        <w:trPr>
          <w:cantSplit/>
        </w:trPr>
        <w:tc>
          <w:tcPr>
            <w:tcW w:type="dxa" w:w="2493"/>
          </w:tcPr>
          <w:p>
            <w:r>
              <w:rPr>
                <w:b w:val="0"/>
                <w:sz w:val="17"/>
              </w:rPr>
            </w:r>
            <w:r>
              <w:rPr>
                <w:b w:val="0"/>
                <w:i w:val="0"/>
                <w:sz w:val="17"/>
              </w:rPr>
              <w:t>S6</w:t>
            </w:r>
          </w:p>
        </w:tc>
        <w:tc>
          <w:tcPr>
            <w:tcW w:type="dxa" w:w="2493"/>
          </w:tcPr>
          <w:p>
            <w:r>
              <w:rPr>
                <w:b w:val="0"/>
                <w:sz w:val="17"/>
              </w:rPr>
            </w:r>
            <w:r>
              <w:rPr>
                <w:b w:val="0"/>
                <w:i w:val="0"/>
                <w:sz w:val="17"/>
              </w:rPr>
              <w:t>Which settings require a supporting document before approval, beyond those named in section 8.3</w:t>
            </w:r>
          </w:p>
        </w:tc>
        <w:tc>
          <w:tcPr>
            <w:tcW w:type="dxa" w:w="2493"/>
          </w:tcPr>
          <w:p>
            <w:r>
              <w:rPr>
                <w:b w:val="0"/>
                <w:sz w:val="17"/>
              </w:rPr>
            </w:r>
            <w:r>
              <w:rPr>
                <w:b w:val="0"/>
                <w:i w:val="0"/>
                <w:sz w:val="17"/>
              </w:rPr>
              <w:t>Dr Thom, with Finance</w:t>
            </w:r>
          </w:p>
        </w:tc>
        <w:tc>
          <w:tcPr>
            <w:tcW w:type="dxa" w:w="2493"/>
          </w:tcPr>
          <w:p>
            <w:r>
              <w:rPr>
                <w:b w:val="0"/>
                <w:sz w:val="17"/>
              </w:rPr>
            </w:r>
            <w:r>
              <w:rPr>
                <w:b w:val="0"/>
                <w:i w:val="0"/>
                <w:sz w:val="17"/>
              </w:rPr>
              <w:t>Every setting that is a Phase 0 sign-off, and every staging setting</w:t>
            </w:r>
          </w:p>
        </w:tc>
      </w:tr>
      <w:tr>
        <w:trPr>
          <w:cantSplit/>
        </w:trPr>
        <w:tc>
          <w:tcPr>
            <w:tcW w:type="dxa" w:w="2493"/>
          </w:tcPr>
          <w:p>
            <w:r>
              <w:rPr>
                <w:b w:val="0"/>
                <w:sz w:val="17"/>
              </w:rPr>
            </w:r>
            <w:r>
              <w:rPr>
                <w:b w:val="0"/>
                <w:i w:val="0"/>
                <w:sz w:val="17"/>
              </w:rPr>
              <w:t>S7</w:t>
            </w:r>
          </w:p>
        </w:tc>
        <w:tc>
          <w:tcPr>
            <w:tcW w:type="dxa" w:w="2493"/>
          </w:tcPr>
          <w:p>
            <w:r>
              <w:rPr>
                <w:b w:val="0"/>
                <w:sz w:val="17"/>
              </w:rPr>
            </w:r>
            <w:r>
              <w:rPr>
                <w:b w:val="0"/>
                <w:i w:val="0"/>
                <w:sz w:val="17"/>
              </w:rPr>
              <w:t>Who may view the supporting documents</w:t>
            </w:r>
          </w:p>
        </w:tc>
        <w:tc>
          <w:tcPr>
            <w:tcW w:type="dxa" w:w="2493"/>
          </w:tcPr>
          <w:p>
            <w:r>
              <w:rPr>
                <w:b w:val="0"/>
                <w:sz w:val="17"/>
              </w:rPr>
            </w:r>
            <w:r>
              <w:rPr>
                <w:b w:val="0"/>
                <w:i w:val="0"/>
                <w:sz w:val="17"/>
              </w:rPr>
              <w:t>MAIIC ICT, with Dr Thom</w:t>
            </w:r>
          </w:p>
        </w:tc>
        <w:tc>
          <w:tcPr>
            <w:tcW w:type="dxa" w:w="2493"/>
          </w:tcPr>
          <w:p>
            <w:r>
              <w:rPr>
                <w:b w:val="0"/>
                <w:sz w:val="17"/>
              </w:rPr>
            </w:r>
            <w:r>
              <w:rPr>
                <w:b w:val="0"/>
                <w:i w:val="0"/>
                <w:sz w:val="17"/>
              </w:rPr>
              <w:t>Users holding the governance permission, and the auditors through the auditor's pack</w:t>
            </w:r>
          </w:p>
        </w:tc>
      </w:tr>
      <w:tr>
        <w:trPr>
          <w:cantSplit/>
        </w:trPr>
        <w:tc>
          <w:tcPr>
            <w:tcW w:type="dxa" w:w="2493"/>
          </w:tcPr>
          <w:p>
            <w:r>
              <w:rPr>
                <w:b w:val="0"/>
                <w:sz w:val="17"/>
              </w:rPr>
            </w:r>
            <w:r>
              <w:rPr>
                <w:b w:val="0"/>
                <w:i w:val="0"/>
                <w:sz w:val="17"/>
              </w:rPr>
              <w:t>S8</w:t>
            </w:r>
          </w:p>
        </w:tc>
        <w:tc>
          <w:tcPr>
            <w:tcW w:type="dxa" w:w="2493"/>
          </w:tcPr>
          <w:p>
            <w:r>
              <w:rPr>
                <w:b w:val="0"/>
                <w:sz w:val="17"/>
              </w:rPr>
            </w:r>
            <w:r>
              <w:rPr>
                <w:b w:val="0"/>
                <w:i w:val="0"/>
                <w:sz w:val="17"/>
              </w:rPr>
              <w:t>Which other approvals require a supporting document (section 8.6)</w:t>
            </w:r>
          </w:p>
        </w:tc>
        <w:tc>
          <w:tcPr>
            <w:tcW w:type="dxa" w:w="2493"/>
          </w:tcPr>
          <w:p>
            <w:r>
              <w:rPr>
                <w:b w:val="0"/>
                <w:sz w:val="17"/>
              </w:rPr>
            </w:r>
            <w:r>
              <w:rPr>
                <w:b w:val="0"/>
                <w:i w:val="0"/>
                <w:sz w:val="17"/>
              </w:rPr>
              <w:t>Dr Thom, with Finance and Credit</w:t>
            </w:r>
          </w:p>
        </w:tc>
        <w:tc>
          <w:tcPr>
            <w:tcW w:type="dxa" w:w="2493"/>
          </w:tcPr>
          <w:p>
            <w:r>
              <w:rPr>
                <w:b w:val="0"/>
                <w:sz w:val="17"/>
              </w:rPr>
            </w:r>
            <w:r>
              <w:rPr>
                <w:b w:val="0"/>
                <w:i w:val="0"/>
                <w:sz w:val="17"/>
              </w:rPr>
              <w:t>As marked in the tables of section 8.6</w:t>
            </w:r>
          </w:p>
        </w:tc>
      </w:tr>
      <w:tr>
        <w:trPr>
          <w:cantSplit/>
        </w:trPr>
        <w:tc>
          <w:tcPr>
            <w:tcW w:type="dxa" w:w="2493"/>
          </w:tcPr>
          <w:p>
            <w:r>
              <w:rPr>
                <w:b w:val="0"/>
                <w:sz w:val="17"/>
              </w:rPr>
            </w:r>
            <w:r>
              <w:rPr>
                <w:b w:val="0"/>
                <w:i w:val="0"/>
                <w:sz w:val="17"/>
              </w:rPr>
              <w:t>S9</w:t>
            </w:r>
          </w:p>
        </w:tc>
        <w:tc>
          <w:tcPr>
            <w:tcW w:type="dxa" w:w="2493"/>
          </w:tcPr>
          <w:p>
            <w:r>
              <w:rPr>
                <w:b w:val="0"/>
                <w:sz w:val="17"/>
              </w:rPr>
            </w:r>
            <w:r>
              <w:rPr>
                <w:b w:val="0"/>
                <w:i w:val="0"/>
                <w:sz w:val="17"/>
              </w:rPr>
              <w:t>Whether a fee rule already approved by the person who wrote it must be approved again by a second person</w:t>
            </w:r>
          </w:p>
        </w:tc>
        <w:tc>
          <w:tcPr>
            <w:tcW w:type="dxa" w:w="2493"/>
          </w:tcPr>
          <w:p>
            <w:r>
              <w:rPr>
                <w:b w:val="0"/>
                <w:sz w:val="17"/>
              </w:rPr>
            </w:r>
            <w:r>
              <w:rPr>
                <w:b w:val="0"/>
                <w:i w:val="0"/>
                <w:sz w:val="17"/>
              </w:rPr>
              <w:t>Dr Thom</w:t>
            </w:r>
          </w:p>
        </w:tc>
        <w:tc>
          <w:tcPr>
            <w:tcW w:type="dxa" w:w="2493"/>
          </w:tcPr>
          <w:p>
            <w:r>
              <w:rPr>
                <w:b w:val="0"/>
                <w:sz w:val="17"/>
              </w:rPr>
            </w:r>
            <w:r>
              <w:rPr>
                <w:b w:val="0"/>
                <w:i w:val="0"/>
                <w:sz w:val="17"/>
              </w:rPr>
              <w:t>Yes: every rule the matcher uses is re-approved under maker-checker before the fee review starts</w:t>
            </w:r>
          </w:p>
        </w:tc>
      </w:tr>
      <w:tr>
        <w:trPr>
          <w:cantSplit/>
        </w:trPr>
        <w:tc>
          <w:tcPr>
            <w:tcW w:type="dxa" w:w="2493"/>
          </w:tcPr>
          <w:p>
            <w:r>
              <w:rPr>
                <w:b w:val="0"/>
                <w:sz w:val="17"/>
              </w:rPr>
            </w:r>
            <w:r>
              <w:rPr>
                <w:b w:val="0"/>
                <w:i w:val="0"/>
                <w:sz w:val="17"/>
              </w:rPr>
              <w:t>S10</w:t>
            </w:r>
          </w:p>
        </w:tc>
        <w:tc>
          <w:tcPr>
            <w:tcW w:type="dxa" w:w="2493"/>
          </w:tcPr>
          <w:p>
            <w:r>
              <w:rPr>
                <w:b w:val="0"/>
                <w:sz w:val="17"/>
              </w:rPr>
            </w:r>
            <w:r>
              <w:rPr>
                <w:b w:val="0"/>
                <w:i w:val="0"/>
                <w:sz w:val="17"/>
              </w:rPr>
              <w:t>Whether to apply the no-back-dating rule (section 8.8, item 4) ahead of the rest of this build</w:t>
            </w:r>
          </w:p>
        </w:tc>
        <w:tc>
          <w:tcPr>
            <w:tcW w:type="dxa" w:w="2493"/>
          </w:tcPr>
          <w:p>
            <w:r>
              <w:rPr>
                <w:b w:val="0"/>
                <w:sz w:val="17"/>
              </w:rPr>
            </w:r>
            <w:r>
              <w:rPr>
                <w:b w:val="0"/>
                <w:i w:val="0"/>
                <w:sz w:val="17"/>
              </w:rPr>
              <w:t>Dr Thom</w:t>
            </w:r>
          </w:p>
        </w:tc>
        <w:tc>
          <w:tcPr>
            <w:tcW w:type="dxa" w:w="2493"/>
          </w:tcPr>
          <w:p>
            <w:r>
              <w:rPr>
                <w:b w:val="0"/>
                <w:sz w:val="17"/>
              </w:rPr>
            </w:r>
            <w:r>
              <w:rPr>
                <w:b w:val="0"/>
                <w:i w:val="0"/>
                <w:sz w:val="17"/>
              </w:rPr>
              <w:t>Yes: it is a small change and protects the locked months now</w:t>
            </w:r>
          </w:p>
        </w:tc>
      </w:tr>
    </w:tbl>
    <w:p/>
    <w:p>
      <w:pPr>
        <w:pStyle w:val="Heading2"/>
      </w:pPr>
      <w:r>
        <w:t>10.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ListNumber"/>
        <w:jc w:val="both"/>
      </w:pPr>
      <w:r>
        <w:rPr>
          <w:b/>
          <w:i w:val="0"/>
        </w:rPr>
        <w:t>Every change logged.</w:t>
      </w:r>
      <w:r>
        <w:rPr>
          <w:b w:val="0"/>
          <w:i w:val="0"/>
        </w:rPr>
        <w:t xml:space="preserve"> Seeding, proposing, adding or removing a document, approving, rejecting, withdrawing, applying a preset and using the override each write one audit entry with the fields of section 8.2, and the setting's History view shows them in order.</w:t>
      </w:r>
    </w:p>
    <w:p>
      <w:pPr>
        <w:pStyle w:val="ListNumber"/>
        <w:jc w:val="both"/>
      </w:pPr>
      <w:r>
        <w:rPr>
          <w:b/>
          <w:i w:val="0"/>
        </w:rPr>
        <w:t>Required evidence.</w:t>
      </w:r>
      <w:r>
        <w:rPr>
          <w:b w:val="0"/>
          <w:i w:val="0"/>
        </w:rPr>
        <w:t xml:space="preserve"> A staging preset or a Stage 2 rebuttal cannot be approved without at least one supporting document; the refusal names what is missing.</w:t>
      </w:r>
    </w:p>
    <w:p>
      <w:pPr>
        <w:pStyle w:val="ListNumber"/>
        <w:jc w:val="both"/>
      </w:pPr>
      <w:r>
        <w:rPr>
          <w:b/>
          <w:i w:val="0"/>
        </w:rPr>
        <w:t>Documents safe.</w:t>
      </w:r>
      <w:r>
        <w:rPr>
          <w:b w:val="0"/>
          <w:i w:val="0"/>
        </w:rPr>
        <w:t xml:space="preserve"> An uploaded document is stored outside the public web folder, cannot be opened without the governance permission, and a file altered on disk is reported as altered when opened.</w:t>
      </w:r>
    </w:p>
    <w:p>
      <w:pPr>
        <w:pStyle w:val="ListNumber"/>
        <w:jc w:val="both"/>
      </w:pPr>
      <w:r>
        <w:rPr>
          <w:b/>
          <w:i w:val="0"/>
        </w:rPr>
        <w:t>Append-only.</w:t>
      </w:r>
      <w:r>
        <w:rPr>
          <w:b w:val="0"/>
          <w:i w:val="0"/>
        </w:rPr>
        <w:t xml:space="preserve"> Editing or deleting a governance audit entry through the system is impossible, and doing it directly in the database is refused; a change made with the guard bypassed is found by the chain check, which names the first broken entry.</w:t>
      </w:r>
    </w:p>
    <w:p>
      <w:pPr>
        <w:pStyle w:val="ListNumber"/>
        <w:jc w:val="both"/>
      </w:pPr>
      <w:r>
        <w:rPr>
          <w:b/>
          <w:i w:val="0"/>
        </w:rPr>
        <w:t>Other approvals.</w:t>
      </w:r>
      <w:r>
        <w:rPr>
          <w:b w:val="0"/>
          <w:i w:val="0"/>
        </w:rPr>
        <w:t xml:space="preserve"> Every workflow of section 8.6 records its proposal, decision (approve, reject or withdraw) and documents in the same log, and refuses approval without the evidence its table marks as required.</w:t>
      </w:r>
    </w:p>
    <w:p>
      <w:pPr>
        <w:pStyle w:val="ListNumber"/>
        <w:jc w:val="both"/>
      </w:pPr>
      <w:r>
        <w:rPr>
          <w:b/>
          <w:i w:val="0"/>
        </w:rPr>
        <w:t>Fee rulebook control.</w:t>
      </w:r>
      <w:r>
        <w:rPr>
          <w:b w:val="0"/>
          <w:i w:val="0"/>
        </w:rPr>
        <w:t xml:space="preserve"> The person who wrote or changed a fee rule cannot approve it; approval and switching a rule on or off need a reason and a second person; the matcher uses only rules approved that way.</w:t>
      </w:r>
    </w:p>
    <w:p>
      <w:pPr>
        <w:pStyle w:val="ListNumber"/>
        <w:jc w:val="both"/>
      </w:pPr>
      <w:r>
        <w:rPr>
          <w:b/>
          <w:i w:val="0"/>
        </w:rPr>
        <w:t>Approvals register.</w:t>
      </w:r>
      <w:r>
        <w:rPr>
          <w:b w:val="0"/>
          <w:i w:val="0"/>
        </w:rPr>
        <w:t xml:space="preserve"> The Approvals view lists every pending and decided item across all workflows and reconciles to the audit log.</w:t>
      </w:r>
    </w:p>
    <w:p>
      <w:pPr>
        <w:pStyle w:val="ListNumber"/>
        <w:jc w:val="both"/>
      </w:pPr>
      <w:r>
        <w:rPr>
          <w:b/>
          <w:i w:val="0"/>
        </w:rPr>
        <w:t>Run record.</w:t>
      </w:r>
      <w:r>
        <w:rPr>
          <w:b w:val="0"/>
          <w:i w:val="0"/>
        </w:rPr>
        <w:t xml:space="preserve"> Every month-end run writes a run record with the frozen snapshot of section 8.8; its fingerprint verifies; every result row of the month carries the run number.</w:t>
      </w:r>
    </w:p>
    <w:p>
      <w:pPr>
        <w:pStyle w:val="ListNumber"/>
        <w:jc w:val="both"/>
      </w:pPr>
      <w:r>
        <w:rPr>
          <w:b/>
          <w:i w:val="0"/>
        </w:rPr>
        <w:t>Run of record.</w:t>
      </w:r>
      <w:r>
        <w:rPr>
          <w:b w:val="0"/>
          <w:i w:val="0"/>
        </w:rPr>
        <w:t xml:space="preserve"> Locking a month names the run whose figures were reported; a later rebuild of an unlocked month supersedes earlier runs and keeps them.</w:t>
      </w:r>
    </w:p>
    <w:p>
      <w:pPr>
        <w:pStyle w:val="ListNumber"/>
        <w:jc w:val="both"/>
      </w:pPr>
      <w:r>
        <w:rPr>
          <w:b/>
          <w:i w:val="0"/>
        </w:rPr>
        <w:t>No back-dating.</w:t>
      </w:r>
      <w:r>
        <w:rPr>
          <w:b w:val="0"/>
          <w:i w:val="0"/>
        </w:rPr>
        <w:t xml:space="preserve"> A setting or rule change with an effective date inside a locked month is refused unless approved through reopen-and-restate with documents.</w:t>
      </w:r>
    </w:p>
    <w:p>
      <w:pPr>
        <w:pStyle w:val="ListNumber"/>
        <w:jc w:val="both"/>
      </w:pPr>
      <w:r>
        <w:rPr>
          <w:b/>
          <w:i w:val="0"/>
        </w:rPr>
        <w:t>Re-performance.</w:t>
      </w:r>
      <w:r>
        <w:rPr>
          <w:b w:val="0"/>
          <w:i w:val="0"/>
        </w:rPr>
        <w:t xml:space="preserve"> Re-running a locked month from its snapshot reproduces its stored stages, ECL and revenue loan by loan, or names each difference.</w:t>
      </w:r>
    </w:p>
    <w:p>
      <w:pPr>
        <w:pStyle w:val="Heading2"/>
      </w:pPr>
      <w:r>
        <w:t>11. Build order</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Work</w:t>
            </w:r>
          </w:p>
        </w:tc>
        <w:tc>
          <w:tcPr>
            <w:tcW w:type="dxa" w:w="3324"/>
            <w:shd w:val="clear" w:color="auto" w:fill="1B2A41"/>
          </w:tcPr>
          <w:p>
            <w:r>
              <w:rPr>
                <w:b/>
                <w:color w:val="FFFFFF"/>
                <w:sz w:val="17"/>
              </w:rPr>
            </w:r>
            <w:r>
              <w:rPr>
                <w:b/>
                <w:i w:val="0"/>
                <w:color w:val="FFFFFF"/>
                <w:sz w:val="17"/>
              </w:rPr>
              <w:t>Size</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 xml:space="preserve">The settings, the presets and their seeding; </w:t>
            </w:r>
            <w:r>
              <w:rPr>
                <w:rFonts w:ascii="Consolas" w:hAnsi="Consolas"/>
                <w:b w:val="0"/>
                <w:i w:val="0"/>
                <w:sz w:val="17"/>
              </w:rPr>
              <w:t>StagingService</w:t>
            </w:r>
            <w:r>
              <w:rPr>
                <w:b w:val="0"/>
                <w:i w:val="0"/>
                <w:sz w:val="17"/>
              </w:rPr>
              <w:t xml:space="preserve"> reading them;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xml:space="preserve"> in the build</w:t>
            </w:r>
          </w:p>
        </w:tc>
        <w:tc>
          <w:tcPr>
            <w:tcW w:type="dxa" w:w="3324"/>
          </w:tcPr>
          <w:p>
            <w:r>
              <w:rPr>
                <w:b w:val="0"/>
                <w:sz w:val="17"/>
              </w:rPr>
            </w:r>
            <w:r>
              <w:rPr>
                <w:b w:val="0"/>
                <w:i w:val="0"/>
                <w:sz w:val="17"/>
              </w:rPr>
              <w:t>About 1.5 days</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The comparison run: tables, command, panel, export, audit-workbook sheet</w:t>
            </w:r>
          </w:p>
        </w:tc>
        <w:tc>
          <w:tcPr>
            <w:tcW w:type="dxa" w:w="3324"/>
          </w:tcPr>
          <w:p>
            <w:r>
              <w:rPr>
                <w:b w:val="0"/>
                <w:sz w:val="17"/>
              </w:rPr>
            </w:r>
            <w:r>
              <w:rPr>
                <w:b w:val="0"/>
                <w:i w:val="0"/>
                <w:sz w:val="17"/>
              </w:rPr>
              <w:t>About 1 day</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The governance change log of sections 8.1 to 8.5: reject and withdraw, the seeding entries, supporting documents on private storage with fingerprints, required evidence, the History view and export, the append-only guard and the chain check</w:t>
            </w:r>
          </w:p>
        </w:tc>
        <w:tc>
          <w:tcPr>
            <w:tcW w:type="dxa" w:w="3324"/>
          </w:tcPr>
          <w:p>
            <w:r>
              <w:rPr>
                <w:b w:val="0"/>
                <w:sz w:val="17"/>
              </w:rPr>
            </w:r>
            <w:r>
              <w:rPr>
                <w:b w:val="0"/>
                <w:i w:val="0"/>
                <w:sz w:val="17"/>
              </w:rPr>
              <w:t>About 2 days</w:t>
            </w:r>
          </w:p>
        </w:tc>
      </w:tr>
      <w:tr>
        <w:trPr>
          <w:cantSplit/>
        </w:trPr>
        <w:tc>
          <w:tcPr>
            <w:tcW w:type="dxa" w:w="3324"/>
          </w:tcPr>
          <w:p>
            <w:r>
              <w:rPr>
                <w:b w:val="0"/>
                <w:sz w:val="17"/>
              </w:rPr>
            </w:r>
            <w:r>
              <w:rPr>
                <w:b w:val="0"/>
                <w:i w:val="0"/>
                <w:sz w:val="17"/>
              </w:rPr>
              <w:t>3a</w:t>
            </w:r>
          </w:p>
        </w:tc>
        <w:tc>
          <w:tcPr>
            <w:tcW w:type="dxa" w:w="3324"/>
          </w:tcPr>
          <w:p>
            <w:r>
              <w:rPr>
                <w:b w:val="0"/>
                <w:sz w:val="17"/>
              </w:rPr>
            </w:r>
            <w:r>
              <w:rPr>
                <w:b w:val="0"/>
                <w:i w:val="0"/>
                <w:sz w:val="17"/>
              </w:rPr>
              <w:t>The other approvals of section 8.6 on the same log and document store, the fee rulebook's maker-checker first; the Approvals view of section 8.7</w:t>
            </w:r>
          </w:p>
        </w:tc>
        <w:tc>
          <w:tcPr>
            <w:tcW w:type="dxa" w:w="3324"/>
          </w:tcPr>
          <w:p>
            <w:r>
              <w:rPr>
                <w:b w:val="0"/>
                <w:sz w:val="17"/>
              </w:rPr>
            </w:r>
            <w:r>
              <w:rPr>
                <w:b w:val="0"/>
                <w:i w:val="0"/>
                <w:sz w:val="17"/>
              </w:rPr>
              <w:t>About 2.5 days</w:t>
            </w:r>
          </w:p>
        </w:tc>
      </w:tr>
      <w:tr>
        <w:trPr>
          <w:cantSplit/>
        </w:trPr>
        <w:tc>
          <w:tcPr>
            <w:tcW w:type="dxa" w:w="3324"/>
          </w:tcPr>
          <w:p>
            <w:r>
              <w:rPr>
                <w:b w:val="0"/>
                <w:sz w:val="17"/>
              </w:rPr>
            </w:r>
            <w:r>
              <w:rPr>
                <w:b w:val="0"/>
                <w:i w:val="0"/>
                <w:sz w:val="17"/>
              </w:rPr>
              <w:t>3b</w:t>
            </w:r>
          </w:p>
        </w:tc>
        <w:tc>
          <w:tcPr>
            <w:tcW w:type="dxa" w:w="3324"/>
          </w:tcPr>
          <w:p>
            <w:r>
              <w:rPr>
                <w:b w:val="0"/>
                <w:sz w:val="17"/>
              </w:rPr>
            </w:r>
            <w:r>
              <w:rPr>
                <w:b w:val="0"/>
                <w:i w:val="0"/>
                <w:sz w:val="17"/>
              </w:rPr>
              <w:t>The run record of section 8.8: snapshot, run numbers on result rows, run of record at lock, the no-back-dating rule, the Settings in force and What changed reports, re-performance</w:t>
            </w:r>
          </w:p>
        </w:tc>
        <w:tc>
          <w:tcPr>
            <w:tcW w:type="dxa" w:w="3324"/>
          </w:tcPr>
          <w:p>
            <w:r>
              <w:rPr>
                <w:b w:val="0"/>
                <w:sz w:val="17"/>
              </w:rPr>
            </w:r>
            <w:r>
              <w:rPr>
                <w:b w:val="0"/>
                <w:i w:val="0"/>
                <w:sz w:val="17"/>
              </w:rPr>
              <w:t>About 2 days</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Tests for each acceptance point; a bootstrap check</w:t>
            </w:r>
          </w:p>
        </w:tc>
        <w:tc>
          <w:tcPr>
            <w:tcW w:type="dxa" w:w="3324"/>
          </w:tcPr>
          <w:p>
            <w:r>
              <w:rPr>
                <w:b w:val="0"/>
                <w:sz w:val="17"/>
              </w:rPr>
            </w:r>
            <w:r>
              <w:rPr>
                <w:b w:val="0"/>
                <w:i w:val="0"/>
                <w:sz w:val="17"/>
              </w:rPr>
              <w:t>About half a day</w:t>
            </w:r>
          </w:p>
        </w:tc>
      </w:tr>
      <w:tr>
        <w:trPr>
          <w:cantSplit/>
        </w:trPr>
        <w:tc>
          <w:tcPr>
            <w:tcW w:type="dxa" w:w="3324"/>
          </w:tcPr>
          <w:p>
            <w:r>
              <w:rPr>
                <w:b w:val="0"/>
                <w:sz w:val="17"/>
              </w:rPr>
            </w:r>
            <w:r>
              <w:rPr>
                <w:b w:val="0"/>
                <w:i w:val="0"/>
                <w:sz w:val="17"/>
              </w:rPr>
              <w:t>5</w:t>
            </w:r>
          </w:p>
        </w:tc>
        <w:tc>
          <w:tcPr>
            <w:tcW w:type="dxa" w:w="3324"/>
          </w:tcPr>
          <w:p>
            <w:r>
              <w:rPr>
                <w:b w:val="0"/>
                <w:sz w:val="17"/>
              </w:rPr>
            </w:r>
            <w:r>
              <w:rPr>
                <w:b w:val="0"/>
                <w:i w:val="0"/>
                <w:sz w:val="17"/>
              </w:rPr>
              <w:t>Release to MAIIC's server by the release steps of the integration document (section 2.2): push, pull, migrate, bootstrap with the nine ties passing, then the comparison runs for December 2025 and September 2026</w:t>
            </w:r>
          </w:p>
        </w:tc>
        <w:tc>
          <w:tcPr>
            <w:tcW w:type="dxa" w:w="3324"/>
          </w:tcPr>
          <w:p>
            <w:r>
              <w:rPr>
                <w:b w:val="0"/>
                <w:sz w:val="17"/>
              </w:rPr>
            </w:r>
            <w:r>
              <w:rPr>
                <w:b w:val="0"/>
                <w:i w:val="0"/>
                <w:sz w:val="17"/>
              </w:rPr>
              <w:t>With MAIIC ICT</w:t>
            </w:r>
          </w:p>
        </w:tc>
      </w:tr>
      <w:tr>
        <w:trPr>
          <w:cantSplit/>
        </w:trPr>
        <w:tc>
          <w:tcPr>
            <w:tcW w:type="dxa" w:w="3324"/>
          </w:tcPr>
          <w:p>
            <w:r>
              <w:rPr>
                <w:b w:val="0"/>
                <w:sz w:val="17"/>
              </w:rPr>
            </w:r>
            <w:r>
              <w:rPr>
                <w:b w:val="0"/>
                <w:i w:val="0"/>
                <w:sz w:val="17"/>
              </w:rPr>
              <w:t>Later</w:t>
            </w:r>
          </w:p>
        </w:tc>
        <w:tc>
          <w:tcPr>
            <w:tcW w:type="dxa" w:w="3324"/>
          </w:tcPr>
          <w:p>
            <w:r>
              <w:rPr>
                <w:b w:val="0"/>
                <w:sz w:val="17"/>
              </w:rPr>
            </w:r>
            <w:r>
              <w:rPr>
                <w:b w:val="0"/>
                <w:i w:val="0"/>
                <w:sz w:val="17"/>
              </w:rPr>
              <w:t>Setting 9, once each loan's PD at origination is kept</w:t>
            </w:r>
          </w:p>
        </w:tc>
        <w:tc>
          <w:tcPr>
            <w:tcW w:type="dxa" w:w="3324"/>
          </w:tcPr>
          <w:p>
            <w:r>
              <w:rPr>
                <w:b w:val="0"/>
                <w:sz w:val="17"/>
              </w:rPr>
            </w:r>
            <w:r>
              <w:rPr>
                <w:b w:val="0"/>
                <w:i w:val="0"/>
                <w:sz w:val="17"/>
              </w:rPr>
              <w:t>To be planned</w:t>
            </w:r>
          </w:p>
        </w:tc>
      </w:tr>
    </w:tbl>
    <w:p/>
    <w:p>
      <w:pPr>
        <w:pStyle w:val="Heading2"/>
      </w:pPr>
      <w:r>
        <w:t>12.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r>
        <w:trPr>
          <w:cantSplit/>
        </w:trPr>
        <w:tc>
          <w:tcPr>
            <w:tcW w:type="dxa" w:w="4986"/>
          </w:tcPr>
          <w:p>
            <w:r>
              <w:rPr>
                <w:b w:val="0"/>
                <w:sz w:val="17"/>
              </w:rPr>
            </w:r>
            <w:r>
              <w:rPr>
                <w:b/>
                <w:i w:val="0"/>
                <w:sz w:val="17"/>
              </w:rPr>
              <w:t>Supporting document</w:t>
            </w:r>
          </w:p>
        </w:tc>
        <w:tc>
          <w:tcPr>
            <w:tcW w:type="dxa" w:w="4986"/>
          </w:tcPr>
          <w:p>
            <w:r>
              <w:rPr>
                <w:b w:val="0"/>
                <w:sz w:val="17"/>
              </w:rPr>
            </w:r>
            <w:r>
              <w:rPr>
                <w:b w:val="0"/>
                <w:i w:val="0"/>
                <w:sz w:val="17"/>
              </w:rPr>
              <w:t>A file attached to a governance change as its evidence: a minute, a policy paper, an analysis or correspondence</w:t>
            </w:r>
          </w:p>
        </w:tc>
      </w:tr>
      <w:tr>
        <w:trPr>
          <w:cantSplit/>
        </w:trPr>
        <w:tc>
          <w:tcPr>
            <w:tcW w:type="dxa" w:w="4986"/>
          </w:tcPr>
          <w:p>
            <w:r>
              <w:rPr>
                <w:b w:val="0"/>
                <w:sz w:val="17"/>
              </w:rPr>
            </w:r>
            <w:r>
              <w:rPr>
                <w:b/>
                <w:i w:val="0"/>
                <w:sz w:val="17"/>
              </w:rPr>
              <w:t>Append-only</w:t>
            </w:r>
          </w:p>
        </w:tc>
        <w:tc>
          <w:tcPr>
            <w:tcW w:type="dxa" w:w="4986"/>
          </w:tcPr>
          <w:p>
            <w:r>
              <w:rPr>
                <w:b w:val="0"/>
                <w:sz w:val="17"/>
              </w:rPr>
            </w:r>
            <w:r>
              <w:rPr>
                <w:b w:val="0"/>
                <w:i w:val="0"/>
                <w:sz w:val="17"/>
              </w:rPr>
              <w:t>A record that can be added to but never changed or deleted</w:t>
            </w:r>
          </w:p>
        </w:tc>
      </w:tr>
      <w:tr>
        <w:trPr>
          <w:cantSplit/>
        </w:trPr>
        <w:tc>
          <w:tcPr>
            <w:tcW w:type="dxa" w:w="4986"/>
          </w:tcPr>
          <w:p>
            <w:r>
              <w:rPr>
                <w:b w:val="0"/>
                <w:sz w:val="17"/>
              </w:rPr>
            </w:r>
            <w:r>
              <w:rPr>
                <w:b/>
                <w:i w:val="0"/>
                <w:sz w:val="17"/>
              </w:rPr>
              <w:t>Run record</w:t>
            </w:r>
          </w:p>
        </w:tc>
        <w:tc>
          <w:tcPr>
            <w:tcW w:type="dxa" w:w="4986"/>
          </w:tcPr>
          <w:p>
            <w:r>
              <w:rPr>
                <w:b w:val="0"/>
                <w:sz w:val="17"/>
              </w:rPr>
            </w:r>
            <w:r>
              <w:rPr>
                <w:b w:val="0"/>
                <w:i w:val="0"/>
                <w:sz w:val="17"/>
              </w:rPr>
              <w:t>The frozen record of everything one month-end run used: settings, rules, models, data loads and code</w:t>
            </w:r>
          </w:p>
        </w:tc>
      </w:tr>
      <w:tr>
        <w:trPr>
          <w:cantSplit/>
        </w:trPr>
        <w:tc>
          <w:tcPr>
            <w:tcW w:type="dxa" w:w="4986"/>
          </w:tcPr>
          <w:p>
            <w:r>
              <w:rPr>
                <w:b w:val="0"/>
                <w:sz w:val="17"/>
              </w:rPr>
            </w:r>
            <w:r>
              <w:rPr>
                <w:b/>
                <w:i w:val="0"/>
                <w:sz w:val="17"/>
              </w:rPr>
              <w:t>Run of record</w:t>
            </w:r>
          </w:p>
        </w:tc>
        <w:tc>
          <w:tcPr>
            <w:tcW w:type="dxa" w:w="4986"/>
          </w:tcPr>
          <w:p>
            <w:r>
              <w:rPr>
                <w:b w:val="0"/>
                <w:sz w:val="17"/>
              </w:rPr>
            </w:r>
            <w:r>
              <w:rPr>
                <w:b w:val="0"/>
                <w:i w:val="0"/>
                <w:sz w:val="17"/>
              </w:rPr>
              <w:t>The run whose figures were reported for a month, named when the month is locked</w:t>
            </w:r>
          </w:p>
        </w:tc>
      </w:tr>
      <w:tr>
        <w:trPr>
          <w:cantSplit/>
        </w:trPr>
        <w:tc>
          <w:tcPr>
            <w:tcW w:type="dxa" w:w="4986"/>
          </w:tcPr>
          <w:p>
            <w:r>
              <w:rPr>
                <w:b w:val="0"/>
                <w:sz w:val="17"/>
              </w:rPr>
            </w:r>
            <w:r>
              <w:rPr>
                <w:b/>
                <w:i w:val="0"/>
                <w:sz w:val="17"/>
              </w:rPr>
              <w:t>Re-performance</w:t>
            </w:r>
          </w:p>
        </w:tc>
        <w:tc>
          <w:tcPr>
            <w:tcW w:type="dxa" w:w="4986"/>
          </w:tcPr>
          <w:p>
            <w:r>
              <w:rPr>
                <w:b w:val="0"/>
                <w:sz w:val="17"/>
              </w:rPr>
            </w:r>
            <w:r>
              <w:rPr>
                <w:b w:val="0"/>
                <w:i w:val="0"/>
                <w:sz w:val="17"/>
              </w:rPr>
              <w:t>Re-running a locked month from its run record to show the reported figures can be reproduced</w:t>
            </w:r>
          </w:p>
        </w:tc>
      </w:tr>
      <w:tr>
        <w:trPr>
          <w:cantSplit/>
        </w:trPr>
        <w:tc>
          <w:tcPr>
            <w:tcW w:type="dxa" w:w="4986"/>
          </w:tcPr>
          <w:p>
            <w:r>
              <w:rPr>
                <w:b w:val="0"/>
                <w:sz w:val="17"/>
              </w:rPr>
            </w:r>
            <w:r>
              <w:rPr>
                <w:b/>
                <w:i w:val="0"/>
                <w:sz w:val="17"/>
              </w:rPr>
              <w:t>Chain check</w:t>
            </w:r>
          </w:p>
        </w:tc>
        <w:tc>
          <w:tcPr>
            <w:tcW w:type="dxa" w:w="4986"/>
          </w:tcPr>
          <w:p>
            <w:r>
              <w:rPr>
                <w:b w:val="0"/>
                <w:sz w:val="17"/>
              </w:rPr>
            </w:r>
            <w:r>
              <w:rPr>
                <w:b w:val="0"/>
                <w:i w:val="0"/>
                <w:sz w:val="17"/>
              </w:rPr>
              <w:t>A test that each audit entry still carries the fingerprint of the one before it, so that a changed or removed entry is found</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