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How the figures are worked out</w:t>
      </w:r>
      <w:r>
        <w:rPr>
          <w:b w:val="0"/>
          <w:i w:val="0"/>
        </w:rPr>
        <w:t xml:space="preserve"> (decided by Edward Mazibuko, 15 October 2026):</w:t>
      </w:r>
    </w:p>
    <w:p>
      <w:pPr>
        <w:pStyle w:val="ListBullet"/>
        <w:jc w:val="both"/>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jc w:val="both"/>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jc w:val="both"/>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Forward-looking month-end sign-off</w:t>
            </w:r>
          </w:p>
        </w:tc>
        <w:tc>
          <w:tcPr>
            <w:tcW w:type="dxa" w:w="1994"/>
          </w:tcPr>
          <w:p>
            <w:r>
              <w:rPr>
                <w:b w:val="0"/>
                <w:sz w:val="17"/>
              </w:rPr>
            </w:r>
            <w:r>
              <w:rPr>
                <w:b w:val="0"/>
                <w:i w:val="0"/>
                <w:sz w:val="17"/>
              </w:rPr>
              <w:t>Signing off a month's forward-looking record (route, scenarios, discounted ECL)</w:t>
            </w:r>
          </w:p>
        </w:tc>
        <w:tc>
          <w:tcPr>
            <w:tcW w:type="dxa" w:w="1994"/>
          </w:tcPr>
          <w:p>
            <w:r>
              <w:rPr>
                <w:b w:val="0"/>
                <w:sz w:val="17"/>
              </w:rPr>
            </w:r>
            <w:r>
              <w:rPr>
                <w:b w:val="0"/>
                <w:i w:val="0"/>
                <w:sz w:val="17"/>
              </w:rPr>
              <w:t>Sign off; the person who recorded the month cannot sign it;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Only a commentary where the movement is outside tolerance (already required)</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(read from the code on 15 October 2026).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Each workflow carries its own self-approval check, worded and coded separately:</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Honours the override today (6)</w:t>
            </w:r>
          </w:p>
        </w:tc>
        <w:tc>
          <w:tcPr>
            <w:tcW w:type="dxa" w:w="3324"/>
            <w:shd w:val="clear" w:color="auto" w:fill="1B2A41"/>
          </w:tcPr>
          <w:p>
            <w:r>
              <w:rPr>
                <w:b/>
                <w:color w:val="FFFFFF"/>
                <w:sz w:val="17"/>
              </w:rPr>
            </w:r>
            <w:r>
              <w:rPr>
                <w:b/>
                <w:i w:val="0"/>
                <w:color w:val="FFFFFF"/>
                <w:sz w:val="17"/>
              </w:rPr>
              <w:t>Refuses a self-approval whatever the setting (14)</w:t>
            </w:r>
          </w:p>
        </w:tc>
        <w:tc>
          <w:tcPr>
            <w:tcW w:type="dxa" w:w="3324"/>
            <w:shd w:val="clear" w:color="auto" w:fill="1B2A41"/>
          </w:tcPr>
          <w:p>
            <w:r>
              <w:rPr>
                <w:b/>
                <w:color w:val="FFFFFF"/>
                <w:sz w:val="17"/>
              </w:rPr>
            </w:r>
            <w:r>
              <w:rPr>
                <w:b/>
                <w:i w:val="0"/>
                <w:color w:val="FFFFFF"/>
                <w:sz w:val="17"/>
              </w:rPr>
              <w:t>No maker-checker yet (2)</w:t>
            </w:r>
          </w:p>
        </w:tc>
      </w:tr>
      <w:tr>
        <w:trPr>
          <w:cantSplit/>
        </w:trPr>
        <w:tc>
          <w:tcPr>
            <w:tcW w:type="dxa" w:w="3324"/>
          </w:tcPr>
          <w:p>
            <w:r>
              <w:rPr>
                <w:b w:val="0"/>
                <w:sz w:val="17"/>
              </w:rPr>
            </w:r>
            <w:r>
              <w:rPr>
                <w:b w:val="0"/>
                <w:i w:val="0"/>
                <w:sz w:val="17"/>
              </w:rPr>
              <w:t>Governance Centre settings; EIR lock; fee classification review; SICR triggers; rate resets; restructure register</w:t>
            </w:r>
          </w:p>
        </w:tc>
        <w:tc>
          <w:tcPr>
            <w:tcW w:type="dxa" w:w="3324"/>
          </w:tcPr>
          <w:p>
            <w:r>
              <w:rPr>
                <w:b w:val="0"/>
                <w:sz w:val="17"/>
              </w:rPr>
            </w:r>
            <w:r>
              <w:rPr>
                <w:b w:val="0"/>
                <w:i w:val="0"/>
                <w:sz w:val="17"/>
              </w:rPr>
              <w:t>Staging thresholds; EIR reopen; period unlock; write-offs; take-on build; loan book build (approve and reject); schedule approval; compliance audit sign-off; scenario sets; forward-looking overlays; forward-looking fits; external forward-looking models; forward-looking month-end sign-off; the legacy regression screen</w:t>
            </w:r>
          </w:p>
        </w:tc>
        <w:tc>
          <w:tcPr>
            <w:tcW w:type="dxa" w:w="3324"/>
          </w:tcPr>
          <w:p>
            <w:r>
              <w:rPr>
                <w:b w:val="0"/>
                <w:sz w:val="17"/>
              </w:rPr>
            </w:r>
            <w:r>
              <w:rPr>
                <w:b w:val="0"/>
                <w:i w:val="0"/>
                <w:sz w:val="17"/>
              </w:rPr>
              <w:t>Fee rulebook (phase 3); macro data overrides (phase 4)</w:t>
            </w:r>
          </w:p>
        </w:tc>
      </w:tr>
    </w:tbl>
    <w:p/>
    <w:p>
      <w:pPr>
        <w:spacing w:after="120"/>
        <w:jc w:val="both"/>
      </w:pPr>
      <w:r>
        <w:rPr>
          <w:b w:val="0"/>
          <w:i w:val="0"/>
        </w:rPr>
        <w:t>The bootstrap approves its own steps under the label "System Bootstrap (automated data-readiness, not a MAIIC approval)", so checking the month-end results needs no human approvals; the override matters only for testing the screens and workflows themselves. The bootstrap label stays as it is and is not the override.</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 And the installation guide sets </w:t>
      </w:r>
      <w:r>
        <w:rPr>
          <w:rFonts w:ascii="Consolas" w:hAnsi="Consolas"/>
          <w:b w:val="0"/>
          <w:i w:val="0"/>
          <w:sz w:val="18"/>
        </w:rPr>
        <w:t>APP_ENV=production</w:t>
      </w:r>
      <w:r>
        <w:rPr>
          <w:b w:val="0"/>
          <w:i w:val="0"/>
        </w:rPr>
        <w:t xml:space="preserve"> on MAIIC's server, which is where UAT is run.</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20 checks above call one shared check, which decides whether a self-approval is allowed. Each keeps its own message. The fee rulebook and the macro data overrides use the same check when they gain maker-checker (phases 3 and 4)</w:t>
            </w:r>
          </w:p>
        </w:tc>
        <w:tc>
          <w:tcPr>
            <w:tcW w:type="dxa" w:w="3324"/>
          </w:tcPr>
          <w:p>
            <w:r>
              <w:rPr>
                <w:b w:val="0"/>
                <w:sz w:val="17"/>
              </w:rPr>
            </w:r>
            <w:r>
              <w:rPr>
                <w:b w:val="0"/>
                <w:i w:val="0"/>
                <w:sz w:val="17"/>
              </w:rPr>
              <w:t>Today 6 of 20 honour the override, each in its own way</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w:t>
            </w:r>
            <w:r>
              <w:rPr>
                <w:rFonts w:ascii="Consolas" w:hAnsi="Consolas"/>
                <w:b w:val="0"/>
                <w:i w:val="0"/>
                <w:sz w:val="17"/>
              </w:rPr>
              <w:t>APP_ENV</w:t>
            </w:r>
            <w:r>
              <w:rPr>
                <w:b w:val="0"/>
                <w:i w:val="0"/>
                <w:sz w:val="17"/>
              </w:rPr>
              <w:t xml:space="preserve"> other than </w:t>
            </w:r>
            <w:r>
              <w:rPr>
                <w:rFonts w:ascii="Consolas" w:hAnsi="Consolas"/>
                <w:b w:val="0"/>
                <w:i w:val="0"/>
                <w:sz w:val="17"/>
              </w:rPr>
              <w:t>production</w:t>
            </w:r>
            <w:r>
              <w:rPr>
                <w:b w:val="0"/>
                <w:i w:val="0"/>
                <w:sz w:val="17"/>
              </w:rPr>
              <w:t xml:space="preserve">, for example </w:t>
            </w:r>
            <w:r>
              <w:rPr>
                <w:rFonts w:ascii="Consolas" w:hAnsi="Consolas"/>
                <w:b w:val="0"/>
                <w:i w:val="0"/>
                <w:sz w:val="17"/>
              </w:rPr>
              <w:t>uat</w:t>
            </w:r>
            <w:r>
              <w:rPr>
                <w:b w:val="0"/>
                <w:i w:val="0"/>
                <w:sz w:val="17"/>
              </w:rPr>
              <w:t xml:space="preserve">) </w:t>
            </w:r>
            <w:r>
              <w:rPr>
                <w:b/>
                <w:i w:val="0"/>
                <w:sz w:val="17"/>
              </w:rPr>
              <w:t>and</w:t>
            </w:r>
            <w:r>
              <w:rPr>
                <w:b w:val="0"/>
                <w:i w:val="0"/>
                <w:sz w:val="17"/>
              </w:rPr>
              <w:t xml:space="preserve"> the governed setting allows it. Under a production environment a self-approval is refused whatever the setting says, and </w:t>
            </w:r>
            <w:r>
              <w:rPr>
                <w:b w:val="0"/>
                <w:i/>
                <w:sz w:val="17"/>
              </w:rPr>
              <w:t>Allowed for administrators</w:t>
            </w:r>
            <w:r>
              <w:rPr>
                <w:b w:val="0"/>
                <w:i w:val="0"/>
                <w:sz w:val="17"/>
              </w:rPr>
              <w:t xml:space="preserve"> cannot be proposed or approved there. </w:t>
            </w:r>
            <w:r>
              <w:rPr>
                <w:b/>
                <w:i w:val="0"/>
                <w:sz w:val="17"/>
              </w:rPr>
              <w:t>During UAT, MAIIC's server runs with `APP_ENV=uat`; at handover MAIIC ICT sets `APP_ENV=production`</w:t>
            </w:r>
            <w:r>
              <w:rPr>
                <w:b w:val="0"/>
                <w:i w:val="0"/>
                <w:sz w:val="17"/>
              </w:rPr>
              <w:t xml:space="preserve"> as the installation guide says (decision S11)</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Switched on for UAT without a second person, only from the server.</w:t>
            </w:r>
            <w:r>
              <w:rPr>
                <w:b w:val="0"/>
                <w:i w:val="0"/>
                <w:sz w:val="17"/>
              </w:rPr>
              <w:t xml:space="preserve"> A fresh install under a non-production environment seeds the override as allowed, labelled as seeded for UAT. On an existing database (MAIIC's server, where the setting already exists) the console command </w:t>
            </w:r>
            <w:r>
              <w:rPr>
                <w:rFonts w:ascii="Consolas" w:hAnsi="Consolas"/>
                <w:b w:val="0"/>
                <w:i w:val="0"/>
                <w:sz w:val="17"/>
              </w:rPr>
              <w:t>governance:uat-mode on</w:t>
            </w:r>
            <w:r>
              <w:rPr>
                <w:b w:val="0"/>
                <w:i w:val="0"/>
                <w:sz w:val="17"/>
              </w:rPr>
              <w:t xml:space="preserve"> writes the approved value, labelled "Switched on for UAT from the server console", audit-logged with the person and the environment. It works only under a non-production environment. </w:t>
            </w:r>
            <w:r>
              <w:rPr>
                <w:rFonts w:ascii="Consolas" w:hAnsi="Consolas"/>
                <w:b w:val="0"/>
                <w:i w:val="0"/>
                <w:sz w:val="17"/>
              </w:rPr>
              <w:t>governance:uat-mode off</w:t>
            </w:r>
            <w:r>
              <w:rPr>
                <w:b w:val="0"/>
                <w:i w:val="0"/>
                <w:sz w:val="17"/>
              </w:rPr>
              <w:t xml:space="preserve"> works under any environment</w:t>
            </w:r>
          </w:p>
        </w:tc>
        <w:tc>
          <w:tcPr>
            <w:tcW w:type="dxa" w:w="3324"/>
          </w:tcPr>
          <w:p>
            <w:r>
              <w:rPr>
                <w:b w:val="0"/>
                <w:sz w:val="17"/>
              </w:rPr>
            </w:r>
            <w:r>
              <w:rPr>
                <w:b w:val="0"/>
                <w:i w:val="0"/>
                <w:sz w:val="17"/>
              </w:rPr>
              <w:t>Removes the first-switch problem; only someone with server access can do it</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recorded as one.</w:t>
            </w:r>
            <w:r>
              <w:rPr>
                <w:b w:val="0"/>
                <w:i w:val="0"/>
                <w:sz w:val="17"/>
              </w:rPr>
              <w:t xml:space="preserve"> Each approval made under the override writes one audit entry, "Maker-checker override used", naming the workflow, the record, the person and the setting in force (the "Override used" event of section 8.2). Where the record has an approver label it also carries "UAT self-approval (administrator override)"</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on that server: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read from those audit entries,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 </w:t>
            </w:r>
            <w:r>
              <w:rPr>
                <w:b/>
                <w:i w:val="0"/>
                <w:sz w:val="17"/>
              </w:rPr>
              <w:t>the override is never used to approve a change to its own setting</w:t>
            </w:r>
            <w:r>
              <w:rPr>
                <w:b w:val="0"/>
                <w:i w:val="0"/>
                <w:sz w:val="17"/>
              </w:rPr>
              <w:t xml:space="preserve">. Setting </w:t>
            </w:r>
            <w:r>
              <w:rPr>
                <w:rFonts w:ascii="Consolas" w:hAnsi="Consolas"/>
                <w:b w:val="0"/>
                <w:i w:val="0"/>
                <w:sz w:val="17"/>
              </w:rPr>
              <w:t>APP_ENV=production</w:t>
            </w:r>
            <w:r>
              <w:rPr>
                <w:b w:val="0"/>
                <w:i w:val="0"/>
                <w:sz w:val="17"/>
              </w:rPr>
              <w:t xml:space="preserve"> also stops it, whatever the setting says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 xml:space="preserve">The UAT environment only: MAIIC's server runs </w:t>
            </w:r>
            <w:r>
              <w:rPr>
                <w:rFonts w:ascii="Consolas" w:hAnsi="Consolas"/>
                <w:b w:val="0"/>
                <w:i w:val="0"/>
                <w:sz w:val="17"/>
              </w:rPr>
              <w:t>APP_ENV=uat</w:t>
            </w:r>
            <w:r>
              <w:rPr>
                <w:b w:val="0"/>
                <w:i w:val="0"/>
                <w:sz w:val="17"/>
              </w:rPr>
              <w:t xml:space="preserve"> during UAT and </w:t>
            </w:r>
            <w:r>
              <w:rPr>
                <w:rFonts w:ascii="Consolas" w:hAnsi="Consolas"/>
                <w:b w:val="0"/>
                <w:i w:val="0"/>
                <w:sz w:val="17"/>
              </w:rPr>
              <w:t>APP_ENV=production</w:t>
            </w:r>
            <w:r>
              <w:rPr>
                <w:b w:val="0"/>
                <w:i w:val="0"/>
                <w:sz w:val="17"/>
              </w:rPr>
              <w:t xml:space="preserve"> from handover;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the allowing option cannot be proposed or approved, and </w:t>
      </w:r>
      <w:r>
        <w:rPr>
          <w:rFonts w:ascii="Consolas" w:hAnsi="Consolas"/>
          <w:b w:val="0"/>
          <w:i w:val="0"/>
          <w:sz w:val="18"/>
        </w:rPr>
        <w:t>governance:uat-mode on</w:t>
      </w:r>
      <w:r>
        <w:rPr>
          <w:b w:val="0"/>
          <w:i w:val="0"/>
        </w:rPr>
        <w:t xml:space="preserve"> is refused.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(the override never approves a change to its own setting); afterwards every workflow refuses a self-approval.</w:t>
      </w:r>
    </w:p>
    <w:p>
      <w:pPr>
        <w:pStyle w:val="Heading2"/>
      </w:pPr>
      <w:r>
        <w:t>11. Build order</w:t>
      </w:r>
    </w:p>
    <w:p>
      <w:pPr>
        <w:spacing w:after="120"/>
        <w:jc w:val="both"/>
      </w:pPr>
      <w:r>
        <w:rPr>
          <w:b w:val="0"/>
          <w:i w:val="0"/>
        </w:rPr>
        <w:t>The work is done in four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23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