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can read as current.</w:t>
      </w:r>
      <w:r>
        <w:rPr>
          <w:b w:val="0"/>
          <w:i w:val="0"/>
        </w:rPr>
        <w:t xml:space="preserve"> Bucket ageing takes E-Banker's report as it stands, and that report leaves the arrears empty on many matured loans. On the system's data, the Mega Farm bullet loans that matured in 2025 read 0 days on about 47 billion kwacha. The December workbooks had them in Stage 3 only because their own loan book had the arrears filled in.</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Core-system ageing only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Without the maturity count, matured bullet loans can read current (section 2.3, item 2)</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How the figures are worked out</w:t>
      </w:r>
      <w:r>
        <w:rPr>
          <w:b w:val="0"/>
          <w:i w:val="0"/>
        </w:rPr>
        <w:t xml:space="preserve"> (decided by Edward Mazibuko, 15 October 2026):</w:t>
      </w:r>
    </w:p>
    <w:p>
      <w:pPr>
        <w:pStyle w:val="ListBullet"/>
        <w:jc w:val="both"/>
      </w:pPr>
      <w:r>
        <w:rPr>
          <w:b/>
          <w:i w:val="0"/>
        </w:rPr>
        <w:t>The ECL effect is an estimate.</w:t>
      </w:r>
      <w:r>
        <w:rPr>
          <w:b w:val="0"/>
          <w:i w:val="0"/>
        </w:rPr>
        <w:t xml:space="preserve"> The booked ECL exists only at the booked stage, so a loan that moves is given the booked coverage of its new stage: the ECL over EAD of the loans booked in that stage in the same portfolio (or in the whole book, where the portfolio has none), applied to the loan's own EAD. A loan that does not move keeps its booked ECL. This shows the direction and size of the change; it is not a full ECL run, and nothing booked is affected by it.</w:t>
      </w:r>
    </w:p>
    <w:p>
      <w:pPr>
        <w:pStyle w:val="ListBullet"/>
        <w:jc w:val="both"/>
      </w:pPr>
      <w:r>
        <w:rPr>
          <w:b/>
          <w:i w:val="0"/>
        </w:rPr>
        <w:t>The cure reads the earlier months as booked.</w:t>
      </w:r>
      <w:r>
        <w:rPr>
          <w:b w:val="0"/>
          <w:i w:val="0"/>
        </w:rPr>
        <w:t xml:space="preserve"> The comparison answers what would change if the policy were adopted from the month compared, and months before adoption stay as booked.</w:t>
      </w:r>
    </w:p>
    <w:p>
      <w:pPr>
        <w:pStyle w:val="ListBullet"/>
        <w:jc w:val="both"/>
      </w:pPr>
      <w:r>
        <w:rPr>
          <w:b/>
          <w:i w:val="0"/>
        </w:rPr>
        <w:t>The day counts are exact.</w:t>
      </w:r>
      <w:r>
        <w:rPr>
          <w:b w:val="0"/>
          <w:i w:val="0"/>
        </w:rPr>
        <w:t xml:space="preserve"> The build keeps each loan's component counts (oldest overdue instalment and bucket ageing, each as reported and recounted, and the days since maturity), so any mix of settings is counted exactly, and the reason for a difference is never given to the wrong setting.</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ties of the bootstrap</w:t>
            </w:r>
          </w:p>
        </w:tc>
        <w:tc>
          <w:tcPr>
            <w:tcW w:type="dxa" w:w="3324"/>
          </w:tcPr>
          <w:p>
            <w:r>
              <w:rPr>
                <w:b w:val="0"/>
                <w:sz w:val="17"/>
              </w:rPr>
            </w:r>
            <w:r>
              <w:rPr>
                <w:b w:val="0"/>
                <w:i w:val="0"/>
                <w:sz w:val="17"/>
              </w:rPr>
              <w:t>No</w:t>
            </w:r>
          </w:p>
        </w:tc>
        <w:tc>
          <w:tcPr>
            <w:tcW w:type="dxa" w:w="3324"/>
          </w:tcPr>
          <w:p>
            <w:r>
              <w:rPr>
                <w:b w:val="0"/>
                <w:sz w:val="17"/>
              </w:rPr>
            </w:r>
            <w:r>
              <w:rPr>
                <w:b w:val="0"/>
                <w:i w:val="0"/>
                <w:sz w:val="17"/>
              </w:rPr>
              <w:t>None of the nine reads the stage</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jc w:val="both"/>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jc w:val="both"/>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rPr>
          <w:cantSplit/>
        </w:trP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rPr>
          <w:cantSplit/>
        </w:trP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rPr>
          <w:cantSplit/>
        </w:trP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rPr>
          <w:cantSplit/>
        </w:trP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rPr>
          <w:cantSplit/>
        </w:trP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rPr>
          <w:cantSplit/>
        </w:trP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rPr>
          <w:cantSplit/>
        </w:trP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jc w:val="both"/>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rPr>
          <w:cantSplit/>
        </w:trP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rPr>
          <w:cantSplit/>
        </w:trP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rPr>
          <w:cantSplit/>
        </w:trP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rPr>
          <w:cantSplit/>
        </w:trP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jc w:val="both"/>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rPr>
          <w:cantSplit/>
        </w:trP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jc w:val="both"/>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3"/>
      </w:pPr>
      <w:r>
        <w:t>8.8 The record of what each month ran on</w:t>
      </w:r>
    </w:p>
    <w:p>
      <w:pPr>
        <w:spacing w:after="120"/>
        <w:jc w:val="both"/>
      </w:pPr>
      <w:r>
        <w:rPr>
          <w:b w:val="0"/>
          <w:i w:val="0"/>
        </w:rPr>
        <w:t>An auditor looking at a month a year later needs to know exactly what that month's figures were computed with: which settings, rules, models, data and code. Today that can only be partly reconstructed:</w:t>
      </w:r>
    </w:p>
    <w:p>
      <w:pPr>
        <w:pStyle w:val="ListBullet"/>
        <w:jc w:val="both"/>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jc w:val="both"/>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jc w:val="both"/>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jc w:val="both"/>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jc w:val="both"/>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jc w:val="both"/>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3"/>
      </w:pPr>
      <w:r>
        <w:t>8.9 UAT mode: maker-checker relaxed for administrators, safely</w:t>
      </w:r>
    </w:p>
    <w:p>
      <w:pPr>
        <w:spacing w:after="120"/>
        <w:jc w:val="both"/>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jc w:val="both"/>
      </w:pPr>
      <w:r>
        <w:rPr>
          <w:b/>
          <w:i w:val="0"/>
        </w:rPr>
        <w:t>What exists today.</w:t>
      </w:r>
      <w:r>
        <w:rPr>
          <w:b w:val="0"/>
          <w:i w:val="0"/>
        </w:rPr>
        <w:t xml:space="preserve">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Six workflows honour it: Governance Centre settings, the EIR lock, fee classification review, SICR triggers, rate resets and the restructure register. The other workflows of section 8.6 refuse a self-approval whatever the setting says, and the fee rulebook has no maker-checker at all until phase 3. The bootstrap approves its own steps under the label "System Bootstrap (automated data-readiness, not a MAIIC approval)", so checking the month-end results needs no human approvals; the override matters only for testing the screens and workflows themselves.</w:t>
      </w:r>
    </w:p>
    <w:p>
      <w:pPr>
        <w:spacing w:after="120"/>
        <w:jc w:val="both"/>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w:t>
      </w:r>
    </w:p>
    <w:p>
      <w:pPr>
        <w:spacing w:after="120"/>
        <w:jc w:val="both"/>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Governance Centre and every workflow of section 8.6 use one shared check, and each honours the override in the same way</w:t>
            </w:r>
          </w:p>
        </w:tc>
        <w:tc>
          <w:tcPr>
            <w:tcW w:type="dxa" w:w="3324"/>
          </w:tcPr>
          <w:p>
            <w:r>
              <w:rPr>
                <w:b w:val="0"/>
                <w:sz w:val="17"/>
              </w:rPr>
            </w:r>
            <w:r>
              <w:rPr>
                <w:b w:val="0"/>
                <w:i w:val="0"/>
                <w:sz w:val="17"/>
              </w:rPr>
              <w:t>Today 6 of about 20 honour it</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(for example </w:t>
            </w:r>
            <w:r>
              <w:rPr>
                <w:rFonts w:ascii="Consolas" w:hAnsi="Consolas"/>
                <w:b w:val="0"/>
                <w:i w:val="0"/>
                <w:sz w:val="17"/>
              </w:rPr>
              <w:t>APP_ENV=uat</w:t>
            </w:r>
            <w:r>
              <w:rPr>
                <w:b w:val="0"/>
                <w:i w:val="0"/>
                <w:sz w:val="17"/>
              </w:rPr>
              <w:t xml:space="preserve">) </w:t>
            </w:r>
            <w:r>
              <w:rPr>
                <w:b/>
                <w:i w:val="0"/>
                <w:sz w:val="17"/>
              </w:rPr>
              <w:t>and</w:t>
            </w:r>
            <w:r>
              <w:rPr>
                <w:b w:val="0"/>
                <w:i w:val="0"/>
                <w:sz w:val="17"/>
              </w:rPr>
              <w:t xml:space="preserve"> the governed setting allows it. Under a production environment it is refused whatever the setting says, and the option cannot be approved there</w:t>
            </w:r>
          </w:p>
        </w:tc>
        <w:tc>
          <w:tcPr>
            <w:tcW w:type="dxa" w:w="3324"/>
          </w:tcPr>
          <w:p>
            <w:r>
              <w:rPr>
                <w:b w:val="0"/>
                <w:sz w:val="17"/>
              </w:rPr>
            </w:r>
            <w:r>
              <w:rPr>
                <w:b w:val="0"/>
                <w:i w:val="0"/>
                <w:sz w:val="17"/>
              </w:rPr>
              <w:t>It cannot be left on, or switched on, in production</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Seeded in UAT.</w:t>
            </w:r>
            <w:r>
              <w:rPr>
                <w:b w:val="0"/>
                <w:i w:val="0"/>
                <w:sz w:val="17"/>
              </w:rPr>
              <w:t xml:space="preserve"> Installing the UAT environment seeds the override as allowed, labelled as seeded for UAT, so no second person is needed to start</w:t>
            </w:r>
          </w:p>
        </w:tc>
        <w:tc>
          <w:tcPr>
            <w:tcW w:type="dxa" w:w="3324"/>
          </w:tcPr>
          <w:p>
            <w:r>
              <w:rPr>
                <w:b w:val="0"/>
                <w:sz w:val="17"/>
              </w:rPr>
            </w:r>
            <w:r>
              <w:rPr>
                <w:b w:val="0"/>
                <w:i w:val="0"/>
                <w:sz w:val="17"/>
              </w:rPr>
              <w:t>Removes the first-switch problem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Every self-approval labelled.</w:t>
            </w:r>
            <w:r>
              <w:rPr>
                <w:b w:val="0"/>
                <w:i w:val="0"/>
                <w:sz w:val="17"/>
              </w:rPr>
              <w:t xml:space="preserve"> The record and the audit entry say "UAT self-approval (administrator override)", with the override setting in force (the "Override used" event of section 8.2)</w:t>
            </w:r>
          </w:p>
        </w:tc>
        <w:tc>
          <w:tcPr>
            <w:tcW w:type="dxa" w:w="3324"/>
          </w:tcPr>
          <w:p>
            <w:r>
              <w:rPr>
                <w:b w:val="0"/>
                <w:sz w:val="17"/>
              </w:rPr>
            </w:r>
            <w:r>
              <w:rPr>
                <w:b w:val="0"/>
                <w:i w:val="0"/>
                <w:sz w:val="17"/>
              </w:rPr>
              <w:t>A test approval can always be told from a real one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by workflow, person and date, exportable</w:t>
            </w:r>
          </w:p>
        </w:tc>
        <w:tc>
          <w:tcPr>
            <w:tcW w:type="dxa" w:w="3324"/>
          </w:tcPr>
          <w:p>
            <w:r>
              <w:rPr>
                <w:b w:val="0"/>
                <w:sz w:val="17"/>
              </w:rPr>
            </w:r>
            <w:r>
              <w:rPr>
                <w:b w:val="0"/>
                <w:i w:val="0"/>
                <w:sz w:val="17"/>
              </w:rPr>
              <w:t>Shows at handover exactly what was approved without a second person</w:t>
            </w:r>
          </w:p>
        </w:tc>
      </w:tr>
      <w:tr>
        <w:trPr>
          <w:cantSplit/>
        </w:trP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w:t>
            </w:r>
          </w:p>
        </w:tc>
        <w:tc>
          <w:tcPr>
            <w:tcW w:type="dxa" w:w="3324"/>
          </w:tcPr>
          <w:p>
            <w:r>
              <w:rPr>
                <w:b w:val="0"/>
                <w:sz w:val="17"/>
              </w:rPr>
            </w:r>
            <w:r>
              <w:rPr>
                <w:b w:val="0"/>
                <w:i w:val="0"/>
                <w:sz w:val="17"/>
              </w:rPr>
              <w:t>The two-person rule is fully on from the first day of live use</w:t>
            </w:r>
          </w:p>
        </w:tc>
      </w:tr>
    </w:tbl>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rPr>
          <w:cantSplit/>
        </w:trP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rPr>
          <w:cantSplit/>
        </w:trP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rPr>
          <w:cantSplit/>
        </w:trP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rPr>
          <w:cantSplit/>
        </w:trP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The UAT environment only; the handover sign-off records the switch-off, approved by a second person</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The bootstrap's nine golden ties still pass.</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jc w:val="both"/>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jc w:val="both"/>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jc w:val="both"/>
      </w:pPr>
      <w:r>
        <w:rPr>
          <w:b/>
          <w:i w:val="0"/>
        </w:rPr>
        <w:t>Approvals register.</w:t>
      </w:r>
      <w:r>
        <w:rPr>
          <w:b w:val="0"/>
          <w:i w:val="0"/>
        </w:rPr>
        <w:t xml:space="preserve"> The Approvals view lists every pending and decided item across all workflows and reconciles to the audit log.</w:t>
      </w:r>
    </w:p>
    <w:p>
      <w:pPr>
        <w:pStyle w:val="ListNumber"/>
        <w:jc w:val="both"/>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jc w:val="both"/>
      </w:pPr>
      <w:r>
        <w:rPr>
          <w:b/>
          <w:i w:val="0"/>
        </w:rPr>
        <w:t>Run of record.</w:t>
      </w:r>
      <w:r>
        <w:rPr>
          <w:b w:val="0"/>
          <w:i w:val="0"/>
        </w:rPr>
        <w:t xml:space="preserve"> Locking a month names the run whose figures were reported; a later rebuild of an unlocked month supersedes earlier runs and keeps them.</w:t>
      </w:r>
    </w:p>
    <w:p>
      <w:pPr>
        <w:pStyle w:val="ListNumber"/>
        <w:jc w:val="both"/>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jc w:val="both"/>
      </w:pPr>
      <w:r>
        <w:rPr>
          <w:b/>
          <w:i w:val="0"/>
        </w:rPr>
        <w:t>Re-performance.</w:t>
      </w:r>
      <w:r>
        <w:rPr>
          <w:b w:val="0"/>
          <w:i w:val="0"/>
        </w:rPr>
        <w:t xml:space="preserve"> Re-running a locked month from its snapshot reproduces its stored stages, ECL and revenue loan by loan, or names each difference.</w:t>
      </w:r>
    </w:p>
    <w:p>
      <w:pPr>
        <w:pStyle w:val="ListNumber"/>
        <w:jc w:val="both"/>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jc w:val="both"/>
      </w:pPr>
      <w:r>
        <w:rPr>
          <w:b/>
          <w:i w:val="0"/>
        </w:rPr>
        <w:t>Production guard.</w:t>
      </w:r>
      <w:r>
        <w:rPr>
          <w:b w:val="0"/>
          <w:i w:val="0"/>
        </w:rPr>
        <w:t xml:space="preserve"> Under a production environment a self-approval is refused even with the setting allowed, and the allowing option cannot be approved.</w:t>
      </w:r>
    </w:p>
    <w:p>
      <w:pPr>
        <w:pStyle w:val="ListNumber"/>
        <w:jc w:val="both"/>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jc w:val="both"/>
      </w:pPr>
      <w:r>
        <w:rPr>
          <w:b/>
          <w:i w:val="0"/>
        </w:rPr>
        <w:t>Handover.</w:t>
      </w:r>
      <w:r>
        <w:rPr>
          <w:b w:val="0"/>
          <w:i w:val="0"/>
        </w:rPr>
        <w:t xml:space="preserve"> Switching the override off needs a second person; afterwards every workflow refuses a self-approval.</w:t>
      </w:r>
    </w:p>
    <w:p>
      <w:pPr>
        <w:pStyle w:val="Heading2"/>
      </w:pPr>
      <w:r>
        <w:t>11. Build order</w:t>
      </w:r>
    </w:p>
    <w:p>
      <w:pPr>
        <w:spacing w:after="120"/>
        <w:jc w:val="both"/>
      </w:pPr>
      <w:r>
        <w:rPr>
          <w:b w:val="0"/>
          <w:i w:val="0"/>
        </w:rPr>
        <w:t>The work is done in four phases, in the order below. Governed staging comes first, because it is the purpose of this specification; the protection of locked months and UAT mode follow, then the fee rulebook control, then the rest of the governance record. The build is done on its own branch, and each phase is merged and released when all its sections are complete and confirmed (section 11.1). The sizes are Dupleix's estimates of the build.</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rPr>
          <w:cantSplit/>
        </w:trPr>
        <w:tc>
          <w:tcPr>
            <w:tcW w:type="dxa" w:w="1994"/>
          </w:tcPr>
          <w:p>
            <w:r>
              <w:rPr>
                <w:b w:val="0"/>
                <w:sz w:val="17"/>
              </w:rPr>
            </w:r>
            <w:r>
              <w:rPr>
                <w:b/>
                <w:i w:val="0"/>
                <w:sz w:val="17"/>
              </w:rPr>
              <w:t>1.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after the phase is merged and released,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rPr>
          <w:cantSplit/>
        </w:trPr>
        <w:tc>
          <w:tcPr>
            <w:tcW w:type="dxa" w:w="1994"/>
          </w:tcPr>
          <w:p>
            <w:r>
              <w:rPr>
                <w:b w:val="0"/>
                <w:sz w:val="17"/>
              </w:rPr>
            </w:r>
            <w:r>
              <w:rPr>
                <w:b/>
                <w:i w:val="0"/>
                <w:sz w:val="17"/>
              </w:rPr>
              <w:t>2.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rPr>
          <w:cantSplit/>
        </w:trP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rPr>
          <w:cantSplit/>
        </w:trP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rPr>
          <w:cantSplit/>
        </w:trP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jc w:val="both"/>
      </w:pPr>
      <w:r>
        <w:rPr>
          <w:b w:val="0"/>
          <w:i w:val="0"/>
        </w:rPr>
        <w:t>The total is about 11 to 11.5 days of build. Governed staging is merged and released after about 3 days; the protection of locked months and UAT mode about 2.5 days later, after which testing on MAIIC's server can run without waiting for a second person on each step; the controlled fee rulebook after about 6 days in all. Until phase 2 is released, a setting can still be back-dated into a locked month (section 8.8), so no governed change should be approved with an effective date inside a locked month in the meantime. The fee rulebook joins the shared maker-checker check of UAT mode when phase 3 gives it maker-checker. Not included: the time to resolve the bootstrap's slow final steps seen on 15 October 2026, which must be fixed before the first merge, since every merge and release depends on the bootstrap passing.</w:t>
      </w:r>
    </w:p>
    <w:p>
      <w:pPr>
        <w:pStyle w:val="Heading3"/>
      </w:pPr>
      <w:r>
        <w:t>11.1 How the build is run</w:t>
      </w:r>
    </w:p>
    <w:p>
      <w:pPr>
        <w:spacing w:after="120"/>
        <w:jc w:val="both"/>
      </w:pPr>
      <w:r>
        <w:rPr>
          <w:b/>
          <w:i w:val="0"/>
        </w:rPr>
        <w:t>One branch.</w:t>
      </w:r>
      <w:r>
        <w:rPr>
          <w:b w:val="0"/>
          <w:i w:val="0"/>
        </w:rPr>
        <w:t xml:space="preserve"> The build is done on a branch of its own, </w:t>
      </w:r>
      <w:r>
        <w:rPr>
          <w:rFonts w:ascii="Consolas" w:hAnsi="Consolas"/>
          <w:b w:val="0"/>
          <w:i w:val="0"/>
          <w:sz w:val="18"/>
        </w:rPr>
        <w:t>staging-governance</w:t>
      </w:r>
      <w:r>
        <w:rPr>
          <w:b w:val="0"/>
          <w:i w:val="0"/>
        </w:rPr>
        <w:t>, taken from the main development branch (</w:t>
      </w:r>
      <w:r>
        <w:rPr>
          <w:rFonts w:ascii="Consolas" w:hAnsi="Consolas"/>
          <w:b w:val="0"/>
          <w:i w:val="0"/>
          <w:sz w:val="18"/>
        </w:rPr>
        <w:t>eir_revenue_recognition</w:t>
      </w:r>
      <w:r>
        <w:rPr>
          <w:b w:val="0"/>
          <w:i w:val="0"/>
        </w:rPr>
        <w:t>) when the build starts. The branch is pushed to the repository after each section so that the work is backed up and visible. It is brought up to date with the main branch (rebased) at the start of each section, so that colleagues' work in the same files is taken in as it happens and each merge is clean.</w:t>
      </w:r>
    </w:p>
    <w:p>
      <w:pPr>
        <w:spacing w:after="120"/>
        <w:jc w:val="both"/>
      </w:pPr>
      <w:r>
        <w:rPr>
          <w:b/>
          <w:i w:val="0"/>
        </w:rPr>
        <w:t>A confirmation before each section starts.</w:t>
      </w:r>
      <w:r>
        <w:rPr>
          <w:b w:val="0"/>
          <w:i w:val="0"/>
        </w:rPr>
        <w:t xml:space="preserve"> Before work on a section begins, Dupleix states what the section will build, the files it will change, the tests it will add and its estimated size, and waits for Edward's confirmation to start. A section can be deferred, reordered or narrowed at this point.</w:t>
      </w:r>
    </w:p>
    <w:p>
      <w:pPr>
        <w:spacing w:after="120"/>
        <w:jc w:val="both"/>
      </w:pPr>
      <w:r>
        <w:rPr>
          <w:b/>
          <w:i w:val="0"/>
        </w:rPr>
        <w:t>A confirmation when each section ends.</w:t>
      </w:r>
      <w:r>
        <w:rPr>
          <w:b w:val="0"/>
          <w:i w:val="0"/>
        </w:rPr>
        <w:t xml:space="preserve"> When a section is built, Dupleix reports what was built, the commits, the tests and their results, the bootstrap result on the branch (the nine golden ties), and anything found along the way that changes the plan, and waits for Edward's confirmation that the section is complete. Only then does the next section start. A section that is not confirmed is reworked on the branch.</w:t>
      </w:r>
    </w:p>
    <w:p>
      <w:pPr>
        <w:spacing w:after="120"/>
        <w:jc w:val="both"/>
      </w:pPr>
      <w:r>
        <w:rPr>
          <w:b/>
          <w:i w:val="0"/>
        </w:rPr>
        <w:t>A merge at the end of each phase.</w:t>
      </w:r>
      <w:r>
        <w:rPr>
          <w:b w:val="0"/>
          <w:i w:val="0"/>
        </w:rPr>
        <w:t xml:space="preserve"> When every section of a phase is confirmed, the branch is rebased onto the main branch, the full test suite and a bootstrap on a fresh database are run (the nine ties must pass), and the phase is merged into </w:t>
      </w:r>
      <w:r>
        <w:rPr>
          <w:rFonts w:ascii="Consolas" w:hAnsi="Consolas"/>
          <w:b w:val="0"/>
          <w:i w:val="0"/>
          <w:sz w:val="18"/>
        </w:rPr>
        <w:t>eir_revenue_recognition</w:t>
      </w:r>
      <w:r>
        <w:rPr>
          <w:b w:val="0"/>
          <w:i w:val="0"/>
        </w:rPr>
        <w:t xml:space="preserve"> and </w:t>
      </w:r>
      <w:r>
        <w:rPr>
          <w:rFonts w:ascii="Consolas" w:hAnsi="Consolas"/>
          <w:b w:val="0"/>
          <w:i w:val="0"/>
          <w:sz w:val="18"/>
        </w:rPr>
        <w:t>master</w:t>
      </w:r>
      <w:r>
        <w:rPr>
          <w:b w:val="0"/>
          <w:i w:val="0"/>
        </w:rPr>
        <w:t xml:space="preserve"> with a merge note listing its sections, their confirmations and the decisions (section 9) they rest on. The phase is then released to MAIIC's server by the release steps of the integration document (section 2.2: push, pull, migrate, bootstrap with the nine ties passing). The next phase continues on the same branch, rebased onto the merged main branch.</w:t>
      </w:r>
    </w:p>
    <w:p>
      <w:pPr>
        <w:spacing w:after="120"/>
        <w:jc w:val="both"/>
      </w:pPr>
      <w:r>
        <w:rPr>
          <w:b/>
          <w:i w:val="0"/>
        </w:rPr>
        <w:t>The sections and merges, in order.</w:t>
      </w:r>
      <w:r>
        <w:rPr>
          <w:b w:val="0"/>
          <w:i w:val="0"/>
        </w:rPr>
        <w:t xml:space="preserve"> Each section row is one start-and-end confirmation; each merge row is one merge and release:</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Section</w:t>
            </w:r>
          </w:p>
        </w:tc>
        <w:tc>
          <w:tcPr>
            <w:tcW w:type="dxa" w:w="2493"/>
            <w:shd w:val="clear" w:color="auto" w:fill="1B2A41"/>
          </w:tcPr>
          <w:p>
            <w:r>
              <w:rPr>
                <w:b/>
                <w:color w:val="FFFFFF"/>
                <w:sz w:val="17"/>
              </w:rPr>
            </w:r>
            <w:r>
              <w:rPr>
                <w:b/>
                <w:i w:val="0"/>
                <w:color w:val="FFFFFF"/>
                <w:sz w:val="17"/>
              </w:rPr>
              <w:t>Phase</w:t>
            </w:r>
          </w:p>
        </w:tc>
        <w:tc>
          <w:tcPr>
            <w:tcW w:type="dxa" w:w="2493"/>
            <w:shd w:val="clear" w:color="auto" w:fill="1B2A41"/>
          </w:tcPr>
          <w:p>
            <w:r>
              <w:rPr>
                <w:b/>
                <w:color w:val="FFFFFF"/>
                <w:sz w:val="17"/>
              </w:rPr>
            </w:r>
            <w:r>
              <w:rPr>
                <w:b/>
                <w:i w:val="0"/>
                <w:color w:val="FFFFFF"/>
                <w:sz w:val="17"/>
              </w:rPr>
              <w:t>Acceptance tests closed</w:t>
            </w:r>
          </w:p>
        </w:tc>
      </w:tr>
      <w:tr>
        <w:trPr>
          <w:cantSplit/>
        </w:trPr>
        <w:tc>
          <w:tcPr>
            <w:tcW w:type="dxa" w:w="2493"/>
          </w:tcPr>
          <w:p>
            <w:r>
              <w:rPr>
                <w:b w:val="0"/>
                <w:sz w:val="17"/>
              </w:rPr>
            </w:r>
            <w:r>
              <w:rPr>
                <w:b w:val="0"/>
                <w:i w:val="0"/>
                <w:sz w:val="17"/>
              </w:rPr>
              <w:t>1</w:t>
            </w:r>
          </w:p>
        </w:tc>
        <w:tc>
          <w:tcPr>
            <w:tcW w:type="dxa" w:w="2493"/>
          </w:tcPr>
          <w:p>
            <w:r>
              <w:rPr>
                <w:b w:val="0"/>
                <w:sz w:val="17"/>
              </w:rPr>
            </w:r>
            <w:r>
              <w:rPr>
                <w:b w:val="0"/>
                <w:i w:val="0"/>
                <w:sz w:val="17"/>
              </w:rPr>
              <w:t>3: the settings and presets</w:t>
            </w:r>
          </w:p>
        </w:tc>
        <w:tc>
          <w:tcPr>
            <w:tcW w:type="dxa" w:w="2493"/>
          </w:tcPr>
          <w:p>
            <w:r>
              <w:rPr>
                <w:b w:val="0"/>
                <w:sz w:val="17"/>
              </w:rPr>
            </w:r>
            <w:r>
              <w:rPr>
                <w:b w:val="0"/>
                <w:i w:val="0"/>
                <w:sz w:val="17"/>
              </w:rPr>
              <w:t>1</w:t>
            </w:r>
          </w:p>
        </w:tc>
        <w:tc>
          <w:tcPr>
            <w:tcW w:type="dxa" w:w="2493"/>
          </w:tcPr>
          <w:p>
            <w:r>
              <w:rPr>
                <w:b w:val="0"/>
                <w:sz w:val="17"/>
              </w:rPr>
            </w:r>
            <w:r>
              <w:rPr>
                <w:b w:val="0"/>
                <w:i w:val="0"/>
                <w:sz w:val="17"/>
              </w:rPr>
              <w:t>1 to 3, 7</w:t>
            </w:r>
          </w:p>
        </w:tc>
      </w:tr>
      <w:tr>
        <w:trPr>
          <w:cantSplit/>
        </w:trPr>
        <w:tc>
          <w:tcPr>
            <w:tcW w:type="dxa" w:w="2493"/>
          </w:tcPr>
          <w:p>
            <w:r>
              <w:rPr>
                <w:b w:val="0"/>
                <w:sz w:val="17"/>
              </w:rPr>
            </w:r>
            <w:r>
              <w:rPr>
                <w:b w:val="0"/>
                <w:i w:val="0"/>
                <w:sz w:val="17"/>
              </w:rPr>
              <w:t>2</w:t>
            </w:r>
          </w:p>
        </w:tc>
        <w:tc>
          <w:tcPr>
            <w:tcW w:type="dxa" w:w="2493"/>
          </w:tcPr>
          <w:p>
            <w:r>
              <w:rPr>
                <w:b w:val="0"/>
                <w:sz w:val="17"/>
              </w:rPr>
            </w:r>
            <w:r>
              <w:rPr>
                <w:b w:val="0"/>
                <w:i w:val="0"/>
                <w:sz w:val="17"/>
              </w:rPr>
              <w:t>5: the separate staging day count, the RBM return on the directive's count</w:t>
            </w:r>
          </w:p>
        </w:tc>
        <w:tc>
          <w:tcPr>
            <w:tcW w:type="dxa" w:w="2493"/>
          </w:tcPr>
          <w:p>
            <w:r>
              <w:rPr>
                <w:b w:val="0"/>
                <w:sz w:val="17"/>
              </w:rPr>
            </w:r>
            <w:r>
              <w:rPr>
                <w:b w:val="0"/>
                <w:i w:val="0"/>
                <w:sz w:val="17"/>
              </w:rPr>
              <w:t>1</w:t>
            </w:r>
          </w:p>
        </w:tc>
        <w:tc>
          <w:tcPr>
            <w:tcW w:type="dxa" w:w="2493"/>
          </w:tcPr>
          <w:p>
            <w:r>
              <w:rPr>
                <w:b w:val="0"/>
                <w:sz w:val="17"/>
              </w:rPr>
            </w:r>
            <w:r>
              <w:rPr>
                <w:b w:val="0"/>
                <w:i w:val="0"/>
                <w:sz w:val="17"/>
              </w:rPr>
              <w:t>6</w:t>
            </w:r>
          </w:p>
        </w:tc>
      </w:tr>
      <w:tr>
        <w:trPr>
          <w:cantSplit/>
        </w:trPr>
        <w:tc>
          <w:tcPr>
            <w:tcW w:type="dxa" w:w="2493"/>
          </w:tcPr>
          <w:p>
            <w:r>
              <w:rPr>
                <w:b w:val="0"/>
                <w:sz w:val="17"/>
              </w:rPr>
            </w:r>
            <w:r>
              <w:rPr>
                <w:b w:val="0"/>
                <w:i w:val="0"/>
                <w:sz w:val="17"/>
              </w:rPr>
              <w:t>3</w:t>
            </w:r>
          </w:p>
        </w:tc>
        <w:tc>
          <w:tcPr>
            <w:tcW w:type="dxa" w:w="2493"/>
          </w:tcPr>
          <w:p>
            <w:r>
              <w:rPr>
                <w:b w:val="0"/>
                <w:sz w:val="17"/>
              </w:rPr>
            </w:r>
            <w:r>
              <w:rPr>
                <w:b w:val="0"/>
                <w:i w:val="0"/>
                <w:sz w:val="17"/>
              </w:rPr>
              <w:t>4: the staging comparison run</w:t>
            </w:r>
          </w:p>
        </w:tc>
        <w:tc>
          <w:tcPr>
            <w:tcW w:type="dxa" w:w="2493"/>
          </w:tcPr>
          <w:p>
            <w:r>
              <w:rPr>
                <w:b w:val="0"/>
                <w:sz w:val="17"/>
              </w:rPr>
            </w:r>
            <w:r>
              <w:rPr>
                <w:b w:val="0"/>
                <w:i w:val="0"/>
                <w:sz w:val="17"/>
              </w:rPr>
              <w:t>1</w:t>
            </w:r>
          </w:p>
        </w:tc>
        <w:tc>
          <w:tcPr>
            <w:tcW w:type="dxa" w:w="2493"/>
          </w:tcPr>
          <w:p>
            <w:r>
              <w:rPr>
                <w:b w:val="0"/>
                <w:sz w:val="17"/>
              </w:rPr>
            </w:r>
            <w:r>
              <w:rPr>
                <w:b w:val="0"/>
                <w:i w:val="0"/>
                <w:sz w:val="17"/>
              </w:rPr>
              <w:t>4, 5</w:t>
            </w:r>
          </w:p>
        </w:tc>
      </w:tr>
      <w:tr>
        <w:trPr>
          <w:cantSplit/>
        </w:trPr>
        <w:tc>
          <w:tcPr>
            <w:tcW w:type="dxa" w:w="2493"/>
          </w:tcPr>
          <w:p>
            <w:r>
              <w:rPr>
                <w:b w:val="0"/>
                <w:sz w:val="17"/>
              </w:rPr>
            </w:r>
            <w:r>
              <w:rPr>
                <w:b/>
                <w:i w:val="0"/>
                <w:sz w:val="17"/>
              </w:rPr>
              <w:t>M1</w:t>
            </w:r>
          </w:p>
        </w:tc>
        <w:tc>
          <w:tcPr>
            <w:tcW w:type="dxa" w:w="2493"/>
          </w:tcPr>
          <w:p>
            <w:r>
              <w:rPr>
                <w:b w:val="0"/>
                <w:sz w:val="17"/>
              </w:rPr>
            </w:r>
            <w:r>
              <w:rPr>
                <w:b/>
                <w:i w:val="0"/>
                <w:sz w:val="17"/>
              </w:rPr>
              <w:t>Merge and release phase 1</w:t>
            </w:r>
            <w:r>
              <w:rPr>
                <w:b w:val="0"/>
                <w:i w:val="0"/>
                <w:sz w:val="17"/>
              </w:rPr>
              <w:t>, then the comparison runs for December 2025 and September 2026 on MAIIC's server</w:t>
            </w:r>
          </w:p>
        </w:tc>
        <w:tc>
          <w:tcPr>
            <w:tcW w:type="dxa" w:w="2493"/>
          </w:tcPr>
          <w:p>
            <w:r>
              <w:rPr>
                <w:b w:val="0"/>
                <w:sz w:val="17"/>
              </w:rPr>
            </w:r>
            <w:r>
              <w:rPr>
                <w:b w:val="0"/>
                <w:i w:val="0"/>
                <w:sz w:val="17"/>
              </w:rPr>
              <w:t>1</w:t>
            </w:r>
          </w:p>
        </w:tc>
        <w:tc>
          <w:tcPr>
            <w:tcW w:type="dxa" w:w="2493"/>
          </w:tcPr>
          <w:p>
            <w:r>
              <w:rPr>
                <w:b w:val="0"/>
                <w:sz w:val="17"/>
              </w:rPr>
            </w:r>
            <w:r>
              <w:rPr>
                <w:b w:val="0"/>
                <w:i w:val="0"/>
                <w:sz w:val="17"/>
              </w:rPr>
              <w:t>1 to 8</w:t>
            </w:r>
          </w:p>
        </w:tc>
      </w:tr>
      <w:tr>
        <w:trPr>
          <w:cantSplit/>
        </w:trPr>
        <w:tc>
          <w:tcPr>
            <w:tcW w:type="dxa" w:w="2493"/>
          </w:tcPr>
          <w:p>
            <w:r>
              <w:rPr>
                <w:b w:val="0"/>
                <w:sz w:val="17"/>
              </w:rPr>
            </w:r>
            <w:r>
              <w:rPr>
                <w:b w:val="0"/>
                <w:i w:val="0"/>
                <w:sz w:val="17"/>
              </w:rPr>
              <w:t>4</w:t>
            </w:r>
          </w:p>
        </w:tc>
        <w:tc>
          <w:tcPr>
            <w:tcW w:type="dxa" w:w="2493"/>
          </w:tcPr>
          <w:p>
            <w:r>
              <w:rPr>
                <w:b w:val="0"/>
                <w:sz w:val="17"/>
              </w:rPr>
            </w:r>
            <w:r>
              <w:rPr>
                <w:b w:val="0"/>
                <w:i w:val="0"/>
                <w:sz w:val="17"/>
              </w:rPr>
              <w:t>8.8 item 4: no back-dating into a locked month</w:t>
            </w:r>
          </w:p>
        </w:tc>
        <w:tc>
          <w:tcPr>
            <w:tcW w:type="dxa" w:w="2493"/>
          </w:tcPr>
          <w:p>
            <w:r>
              <w:rPr>
                <w:b w:val="0"/>
                <w:sz w:val="17"/>
              </w:rPr>
            </w:r>
            <w:r>
              <w:rPr>
                <w:b w:val="0"/>
                <w:i w:val="0"/>
                <w:sz w:val="17"/>
              </w:rPr>
              <w:t>2</w:t>
            </w:r>
          </w:p>
        </w:tc>
        <w:tc>
          <w:tcPr>
            <w:tcW w:type="dxa" w:w="2493"/>
          </w:tcPr>
          <w:p>
            <w:r>
              <w:rPr>
                <w:b w:val="0"/>
                <w:sz w:val="17"/>
              </w:rPr>
            </w:r>
            <w:r>
              <w:rPr>
                <w:b w:val="0"/>
                <w:i w:val="0"/>
                <w:sz w:val="17"/>
              </w:rPr>
              <w:t>18</w:t>
            </w:r>
          </w:p>
        </w:tc>
      </w:tr>
      <w:tr>
        <w:trPr>
          <w:cantSplit/>
        </w:trPr>
        <w:tc>
          <w:tcPr>
            <w:tcW w:type="dxa" w:w="2493"/>
          </w:tcPr>
          <w:p>
            <w:r>
              <w:rPr>
                <w:b w:val="0"/>
                <w:sz w:val="17"/>
              </w:rPr>
            </w:r>
            <w:r>
              <w:rPr>
                <w:b w:val="0"/>
                <w:i w:val="0"/>
                <w:sz w:val="17"/>
              </w:rPr>
              <w:t>5</w:t>
            </w:r>
          </w:p>
        </w:tc>
        <w:tc>
          <w:tcPr>
            <w:tcW w:type="dxa" w:w="2493"/>
          </w:tcPr>
          <w:p>
            <w:r>
              <w:rPr>
                <w:b w:val="0"/>
                <w:sz w:val="17"/>
              </w:rPr>
            </w:r>
            <w:r>
              <w:rPr>
                <w:b w:val="0"/>
                <w:i w:val="0"/>
                <w:sz w:val="17"/>
              </w:rPr>
              <w:t>8.9: UAT mode</w:t>
            </w:r>
          </w:p>
        </w:tc>
        <w:tc>
          <w:tcPr>
            <w:tcW w:type="dxa" w:w="2493"/>
          </w:tcPr>
          <w:p>
            <w:r>
              <w:rPr>
                <w:b w:val="0"/>
                <w:sz w:val="17"/>
              </w:rPr>
            </w:r>
            <w:r>
              <w:rPr>
                <w:b w:val="0"/>
                <w:i w:val="0"/>
                <w:sz w:val="17"/>
              </w:rPr>
              <w:t>2</w:t>
            </w:r>
          </w:p>
        </w:tc>
        <w:tc>
          <w:tcPr>
            <w:tcW w:type="dxa" w:w="2493"/>
          </w:tcPr>
          <w:p>
            <w:r>
              <w:rPr>
                <w:b w:val="0"/>
                <w:sz w:val="17"/>
              </w:rPr>
            </w:r>
            <w:r>
              <w:rPr>
                <w:b w:val="0"/>
                <w:i w:val="0"/>
                <w:sz w:val="17"/>
              </w:rPr>
              <w:t>20 to 23</w:t>
            </w:r>
          </w:p>
        </w:tc>
      </w:tr>
      <w:tr>
        <w:trPr>
          <w:cantSplit/>
        </w:trPr>
        <w:tc>
          <w:tcPr>
            <w:tcW w:type="dxa" w:w="2493"/>
          </w:tcPr>
          <w:p>
            <w:r>
              <w:rPr>
                <w:b w:val="0"/>
                <w:sz w:val="17"/>
              </w:rPr>
            </w:r>
            <w:r>
              <w:rPr>
                <w:b/>
                <w:i w:val="0"/>
                <w:sz w:val="17"/>
              </w:rPr>
              <w:t>M2</w:t>
            </w:r>
          </w:p>
        </w:tc>
        <w:tc>
          <w:tcPr>
            <w:tcW w:type="dxa" w:w="2493"/>
          </w:tcPr>
          <w:p>
            <w:r>
              <w:rPr>
                <w:b w:val="0"/>
                <w:sz w:val="17"/>
              </w:rPr>
            </w:r>
            <w:r>
              <w:rPr>
                <w:b/>
                <w:i w:val="0"/>
                <w:sz w:val="17"/>
              </w:rPr>
              <w:t>Merge and release phase 2</w:t>
            </w:r>
          </w:p>
        </w:tc>
        <w:tc>
          <w:tcPr>
            <w:tcW w:type="dxa" w:w="2493"/>
          </w:tcPr>
          <w:p>
            <w:r>
              <w:rPr>
                <w:b w:val="0"/>
                <w:sz w:val="17"/>
              </w:rPr>
            </w:r>
            <w:r>
              <w:rPr>
                <w:b w:val="0"/>
                <w:i w:val="0"/>
                <w:sz w:val="17"/>
              </w:rPr>
              <w:t>2</w:t>
            </w:r>
          </w:p>
        </w:tc>
        <w:tc>
          <w:tcPr>
            <w:tcW w:type="dxa" w:w="2493"/>
          </w:tcPr>
          <w:p>
            <w:r>
              <w:rPr>
                <w:b w:val="0"/>
                <w:sz w:val="17"/>
              </w:rPr>
            </w:r>
            <w:r>
              <w:rPr>
                <w:b w:val="0"/>
                <w:i w:val="0"/>
                <w:sz w:val="17"/>
              </w:rPr>
              <w:t>18, 20 to 23 re-run on the merged code</w:t>
            </w:r>
          </w:p>
        </w:tc>
      </w:tr>
      <w:tr>
        <w:trPr>
          <w:cantSplit/>
        </w:trPr>
        <w:tc>
          <w:tcPr>
            <w:tcW w:type="dxa" w:w="2493"/>
          </w:tcPr>
          <w:p>
            <w:r>
              <w:rPr>
                <w:b w:val="0"/>
                <w:sz w:val="17"/>
              </w:rPr>
            </w:r>
            <w:r>
              <w:rPr>
                <w:b w:val="0"/>
                <w:i w:val="0"/>
                <w:sz w:val="17"/>
              </w:rPr>
              <w:t>6</w:t>
            </w:r>
          </w:p>
        </w:tc>
        <w:tc>
          <w:tcPr>
            <w:tcW w:type="dxa" w:w="2493"/>
          </w:tcPr>
          <w:p>
            <w:r>
              <w:rPr>
                <w:b w:val="0"/>
                <w:sz w:val="17"/>
              </w:rPr>
            </w:r>
            <w:r>
              <w:rPr>
                <w:b w:val="0"/>
                <w:i w:val="0"/>
                <w:sz w:val="17"/>
              </w:rPr>
              <w:t>8.6: fee rulebook control, then the re-approval of the rules in use (decision S9)</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i w:val="0"/>
                <w:sz w:val="17"/>
              </w:rPr>
              <w:t>M3</w:t>
            </w:r>
          </w:p>
        </w:tc>
        <w:tc>
          <w:tcPr>
            <w:tcW w:type="dxa" w:w="2493"/>
          </w:tcPr>
          <w:p>
            <w:r>
              <w:rPr>
                <w:b w:val="0"/>
                <w:sz w:val="17"/>
              </w:rPr>
            </w:r>
            <w:r>
              <w:rPr>
                <w:b/>
                <w:i w:val="0"/>
                <w:sz w:val="17"/>
              </w:rPr>
              <w:t>Merge and release phase 3</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val="0"/>
                <w:i w:val="0"/>
                <w:sz w:val="17"/>
              </w:rPr>
              <w:t>7</w:t>
            </w:r>
          </w:p>
        </w:tc>
        <w:tc>
          <w:tcPr>
            <w:tcW w:type="dxa" w:w="2493"/>
          </w:tcPr>
          <w:p>
            <w:r>
              <w:rPr>
                <w:b w:val="0"/>
                <w:sz w:val="17"/>
              </w:rPr>
            </w:r>
            <w:r>
              <w:rPr>
                <w:b w:val="0"/>
                <w:i w:val="0"/>
                <w:sz w:val="17"/>
              </w:rPr>
              <w:t>8.1 to 8.5: the Governance Centre change log</w:t>
            </w:r>
          </w:p>
        </w:tc>
        <w:tc>
          <w:tcPr>
            <w:tcW w:type="dxa" w:w="2493"/>
          </w:tcPr>
          <w:p>
            <w:r>
              <w:rPr>
                <w:b w:val="0"/>
                <w:sz w:val="17"/>
              </w:rPr>
            </w:r>
            <w:r>
              <w:rPr>
                <w:b w:val="0"/>
                <w:i w:val="0"/>
                <w:sz w:val="17"/>
              </w:rPr>
              <w:t>4</w:t>
            </w:r>
          </w:p>
        </w:tc>
        <w:tc>
          <w:tcPr>
            <w:tcW w:type="dxa" w:w="2493"/>
          </w:tcPr>
          <w:p>
            <w:r>
              <w:rPr>
                <w:b w:val="0"/>
                <w:sz w:val="17"/>
              </w:rPr>
            </w:r>
            <w:r>
              <w:rPr>
                <w:b w:val="0"/>
                <w:i w:val="0"/>
                <w:sz w:val="17"/>
              </w:rPr>
              <w:t>9 to 12</w:t>
            </w:r>
          </w:p>
        </w:tc>
      </w:tr>
      <w:tr>
        <w:trPr>
          <w:cantSplit/>
        </w:trPr>
        <w:tc>
          <w:tcPr>
            <w:tcW w:type="dxa" w:w="2493"/>
          </w:tcPr>
          <w:p>
            <w:r>
              <w:rPr>
                <w:b w:val="0"/>
                <w:sz w:val="17"/>
              </w:rPr>
            </w:r>
            <w:r>
              <w:rPr>
                <w:b w:val="0"/>
                <w:i w:val="0"/>
                <w:sz w:val="17"/>
              </w:rPr>
              <w:t>8</w:t>
            </w:r>
          </w:p>
        </w:tc>
        <w:tc>
          <w:tcPr>
            <w:tcW w:type="dxa" w:w="2493"/>
          </w:tcPr>
          <w:p>
            <w:r>
              <w:rPr>
                <w:b w:val="0"/>
                <w:sz w:val="17"/>
              </w:rPr>
            </w:r>
            <w:r>
              <w:rPr>
                <w:b w:val="0"/>
                <w:i w:val="0"/>
                <w:sz w:val="17"/>
              </w:rPr>
              <w:t>8.6: the other approvals</w:t>
            </w:r>
          </w:p>
        </w:tc>
        <w:tc>
          <w:tcPr>
            <w:tcW w:type="dxa" w:w="2493"/>
          </w:tcPr>
          <w:p>
            <w:r>
              <w:rPr>
                <w:b w:val="0"/>
                <w:sz w:val="17"/>
              </w:rPr>
            </w:r>
            <w:r>
              <w:rPr>
                <w:b w:val="0"/>
                <w:i w:val="0"/>
                <w:sz w:val="17"/>
              </w:rPr>
              <w:t>4</w:t>
            </w:r>
          </w:p>
        </w:tc>
        <w:tc>
          <w:tcPr>
            <w:tcW w:type="dxa" w:w="2493"/>
          </w:tcPr>
          <w:p>
            <w:r>
              <w:rPr>
                <w:b w:val="0"/>
                <w:sz w:val="17"/>
              </w:rPr>
            </w:r>
            <w:r>
              <w:rPr>
                <w:b w:val="0"/>
                <w:i w:val="0"/>
                <w:sz w:val="17"/>
              </w:rPr>
              <w:t>13</w:t>
            </w:r>
          </w:p>
        </w:tc>
      </w:tr>
      <w:tr>
        <w:trPr>
          <w:cantSplit/>
        </w:trPr>
        <w:tc>
          <w:tcPr>
            <w:tcW w:type="dxa" w:w="2493"/>
          </w:tcPr>
          <w:p>
            <w:r>
              <w:rPr>
                <w:b w:val="0"/>
                <w:sz w:val="17"/>
              </w:rPr>
            </w:r>
            <w:r>
              <w:rPr>
                <w:b w:val="0"/>
                <w:i w:val="0"/>
                <w:sz w:val="17"/>
              </w:rPr>
              <w:t>9</w:t>
            </w:r>
          </w:p>
        </w:tc>
        <w:tc>
          <w:tcPr>
            <w:tcW w:type="dxa" w:w="2493"/>
          </w:tcPr>
          <w:p>
            <w:r>
              <w:rPr>
                <w:b w:val="0"/>
                <w:sz w:val="17"/>
              </w:rPr>
            </w:r>
            <w:r>
              <w:rPr>
                <w:b w:val="0"/>
                <w:i w:val="0"/>
                <w:sz w:val="17"/>
              </w:rPr>
              <w:t>8.7: the register of approvals</w:t>
            </w:r>
          </w:p>
        </w:tc>
        <w:tc>
          <w:tcPr>
            <w:tcW w:type="dxa" w:w="2493"/>
          </w:tcPr>
          <w:p>
            <w:r>
              <w:rPr>
                <w:b w:val="0"/>
                <w:sz w:val="17"/>
              </w:rPr>
            </w:r>
            <w:r>
              <w:rPr>
                <w:b w:val="0"/>
                <w:i w:val="0"/>
                <w:sz w:val="17"/>
              </w:rPr>
              <w:t>4</w:t>
            </w:r>
          </w:p>
        </w:tc>
        <w:tc>
          <w:tcPr>
            <w:tcW w:type="dxa" w:w="2493"/>
          </w:tcPr>
          <w:p>
            <w:r>
              <w:rPr>
                <w:b w:val="0"/>
                <w:sz w:val="17"/>
              </w:rPr>
            </w:r>
            <w:r>
              <w:rPr>
                <w:b w:val="0"/>
                <w:i w:val="0"/>
                <w:sz w:val="17"/>
              </w:rPr>
              <w:t>15</w:t>
            </w:r>
          </w:p>
        </w:tc>
      </w:tr>
      <w:tr>
        <w:trPr>
          <w:cantSplit/>
        </w:trPr>
        <w:tc>
          <w:tcPr>
            <w:tcW w:type="dxa" w:w="2493"/>
          </w:tcPr>
          <w:p>
            <w:r>
              <w:rPr>
                <w:b w:val="0"/>
                <w:sz w:val="17"/>
              </w:rPr>
            </w:r>
            <w:r>
              <w:rPr>
                <w:b w:val="0"/>
                <w:i w:val="0"/>
                <w:sz w:val="17"/>
              </w:rPr>
              <w:t>10</w:t>
            </w:r>
          </w:p>
        </w:tc>
        <w:tc>
          <w:tcPr>
            <w:tcW w:type="dxa" w:w="2493"/>
          </w:tcPr>
          <w:p>
            <w:r>
              <w:rPr>
                <w:b w:val="0"/>
                <w:sz w:val="17"/>
              </w:rPr>
            </w:r>
            <w:r>
              <w:rPr>
                <w:b w:val="0"/>
                <w:i w:val="0"/>
                <w:sz w:val="17"/>
              </w:rPr>
              <w:t>8.8: the run record</w:t>
            </w:r>
          </w:p>
        </w:tc>
        <w:tc>
          <w:tcPr>
            <w:tcW w:type="dxa" w:w="2493"/>
          </w:tcPr>
          <w:p>
            <w:r>
              <w:rPr>
                <w:b w:val="0"/>
                <w:sz w:val="17"/>
              </w:rPr>
            </w:r>
            <w:r>
              <w:rPr>
                <w:b w:val="0"/>
                <w:i w:val="0"/>
                <w:sz w:val="17"/>
              </w:rPr>
              <w:t>4</w:t>
            </w:r>
          </w:p>
        </w:tc>
        <w:tc>
          <w:tcPr>
            <w:tcW w:type="dxa" w:w="2493"/>
          </w:tcPr>
          <w:p>
            <w:r>
              <w:rPr>
                <w:b w:val="0"/>
                <w:sz w:val="17"/>
              </w:rPr>
            </w:r>
            <w:r>
              <w:rPr>
                <w:b w:val="0"/>
                <w:i w:val="0"/>
                <w:sz w:val="17"/>
              </w:rPr>
              <w:t>16, 17, 19</w:t>
            </w:r>
          </w:p>
        </w:tc>
      </w:tr>
      <w:tr>
        <w:trPr>
          <w:cantSplit/>
        </w:trPr>
        <w:tc>
          <w:tcPr>
            <w:tcW w:type="dxa" w:w="2493"/>
          </w:tcPr>
          <w:p>
            <w:r>
              <w:rPr>
                <w:b w:val="0"/>
                <w:sz w:val="17"/>
              </w:rPr>
            </w:r>
            <w:r>
              <w:rPr>
                <w:b/>
                <w:i w:val="0"/>
                <w:sz w:val="17"/>
              </w:rPr>
              <w:t>M4</w:t>
            </w:r>
          </w:p>
        </w:tc>
        <w:tc>
          <w:tcPr>
            <w:tcW w:type="dxa" w:w="2493"/>
          </w:tcPr>
          <w:p>
            <w:r>
              <w:rPr>
                <w:b w:val="0"/>
                <w:sz w:val="17"/>
              </w:rPr>
            </w:r>
            <w:r>
              <w:rPr>
                <w:b/>
                <w:i w:val="0"/>
                <w:sz w:val="17"/>
              </w:rPr>
              <w:t>Merge and release phase 4</w:t>
            </w:r>
            <w:r>
              <w:rPr>
                <w:b w:val="0"/>
                <w:i w:val="0"/>
                <w:sz w:val="17"/>
              </w:rPr>
              <w:t>: all 23 acceptance tests, the full test suite and a bootstrap on a fresh database with the nine ties passing</w:t>
            </w:r>
          </w:p>
        </w:tc>
        <w:tc>
          <w:tcPr>
            <w:tcW w:type="dxa" w:w="2493"/>
          </w:tcPr>
          <w:p>
            <w:r>
              <w:rPr>
                <w:b w:val="0"/>
                <w:sz w:val="17"/>
              </w:rPr>
            </w:r>
            <w:r>
              <w:rPr>
                <w:b w:val="0"/>
                <w:i w:val="0"/>
                <w:sz w:val="17"/>
              </w:rPr>
              <w:t>4</w:t>
            </w:r>
          </w:p>
        </w:tc>
        <w:tc>
          <w:tcPr>
            <w:tcW w:type="dxa" w:w="2493"/>
          </w:tcPr>
          <w:p>
            <w:r>
              <w:rPr>
                <w:b w:val="0"/>
                <w:sz w:val="17"/>
              </w:rPr>
            </w:r>
            <w:r>
              <w:rPr>
                <w:b w:val="0"/>
                <w:i w:val="0"/>
                <w:sz w:val="17"/>
              </w:rPr>
              <w:t>All</w:t>
            </w:r>
          </w:p>
        </w:tc>
      </w:tr>
    </w:tbl>
    <w:p/>
    <w:p>
      <w:pPr>
        <w:spacing w:after="120"/>
        <w:jc w:val="both"/>
      </w:pPr>
      <w:r>
        <w:rPr>
          <w:b/>
          <w:i w:val="0"/>
        </w:rPr>
        <w:t>Why this way.</w:t>
      </w:r>
      <w:r>
        <w:rPr>
          <w:b w:val="0"/>
          <w:i w:val="0"/>
        </w:rPr>
        <w:t xml:space="preserve"> Each phase reaches MAIIC's server as soon as it is complete, so governed staging (phase 1), the protection of the locked months and UAT mode (phase 2) and the controlled fee rulebook (phase 3) are in use without waiting for the rest; and each merge is small enough to review on its own.</w:t>
      </w:r>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rPr>
          <w:cantSplit/>
        </w:trP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rPr>
          <w:cantSplit/>
        </w:trP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rPr>
          <w:cantSplit/>
        </w:trP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