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512000" cy="622847"/>
            <wp:docPr id="1" name="Picture 1"/>
            <wp:cNvGraphicFramePr>
              <a:graphicFrameLocks noChangeAspect="1"/>
            </wp:cNvGraphicFramePr>
            <a:graphic>
              <a:graphicData uri="http://schemas.openxmlformats.org/drawingml/2006/picture">
                <pic:pic>
                  <pic:nvPicPr>
                    <pic:cNvPr id="0" name="Dupleix logo.png"/>
                    <pic:cNvPicPr/>
                  </pic:nvPicPr>
                  <pic:blipFill>
                    <a:blip r:embed="rId9"/>
                    <a:stretch>
                      <a:fillRect/>
                    </a:stretch>
                  </pic:blipFill>
                  <pic:spPr>
                    <a:xfrm>
                      <a:off x="0" y="0"/>
                      <a:ext cx="1512000" cy="622847"/>
                    </a:xfrm>
                    <a:prstGeom prst="rect"/>
                  </pic:spPr>
                </pic:pic>
              </a:graphicData>
            </a:graphic>
          </wp:inline>
        </w:drawing>
      </w:r>
    </w:p>
    <w:p>
      <w:r>
        <w:rPr>
          <w:b/>
          <w:color w:val="5B6470"/>
          <w:sz w:val="18"/>
        </w:rPr>
        <w:t>MAIIC IFRS 9 and EIR system</w:t>
      </w:r>
    </w:p>
    <w:p>
      <w:pPr>
        <w:pStyle w:val="Heading1"/>
      </w:pPr>
      <w:r>
        <w:t>Two PD pools: MAIIC's book and the Mega Farm programme</w:t>
      </w:r>
    </w:p>
    <w:p>
      <w:r>
        <w:rPr>
          <w:color w:val="1B2A41"/>
          <w:sz w:val="24"/>
        </w:rPr>
        <w:t>How the probability of default is measured from 17 October 2026, with the Mega Farm comparison method run beside it</w:t>
      </w:r>
    </w:p>
    <w:p>
      <w:r>
        <w:rPr>
          <w:color w:val="5B6470"/>
          <w:sz w:val="18"/>
        </w:rPr>
        <w:t>17 October 2026</w:t>
      </w:r>
    </w:p>
    <w:p>
      <w:r>
        <w:rPr>
          <w:color w:val="5B6470"/>
          <w:sz w:val="18"/>
        </w:rPr>
        <w:t>Edward Mazibuko, Director, Data Analytics, Dupleix Institute</w:t>
      </w:r>
    </w:p>
    <w:p>
      <w:r>
        <w:rPr>
          <w:color w:val="5B6470"/>
          <w:sz w:val="18"/>
        </w:rPr>
        <w:t>For the development collaborators, MAIIC Finance and Risk, and Dr Thomson Kumwenda (CFO)</w:t>
      </w:r>
    </w:p>
    <w:p>
      <w:r>
        <w:rPr>
          <w:color w:val="5B6470"/>
          <w:sz w:val="18"/>
        </w:rPr>
        <w:t>Built and tested; seeded as the default for every fresh install and bootstrap. Not yet adopted in maiic_ifrs9 or the candidate database (section 6). Golden numbers to be reset on Edward's approval (section 7).</w:t>
      </w:r>
    </w:p>
    <w:p>
      <w:r>
        <w:rPr>
          <w:b/>
          <w:color w:val="1B2A41"/>
          <w:sz w:val="26"/>
        </w:rPr>
        <w:t>Contents</w:t>
      </w:r>
    </w:p>
    <w:p>
      <w:r>
        <w:fldChar w:fldCharType="begin"/>
        <w:instrText xml:space="preserve">TOC \o "2-3" \h \z \u</w:instrText>
        <w:fldChar w:fldCharType="separate"/>
        <w:t>Right-click and choose Update Field if the page numbers do not show.</w:t>
        <w:fldChar w:fldCharType="end"/>
      </w:r>
    </w:p>
    <w:p>
      <w:r>
        <w:br w:type="page"/>
      </w:r>
    </w:p>
    <w:p>
      <w:pPr>
        <w:pStyle w:val="Heading2"/>
      </w:pPr>
      <w:r>
        <w:t>1. The decision</w:t>
      </w:r>
    </w:p>
    <w:p>
      <w:pPr>
        <w:spacing w:after="120"/>
        <w:jc w:val="both"/>
      </w:pPr>
      <w:r>
        <w:rPr>
          <w:b w:val="0"/>
          <w:i w:val="0"/>
        </w:rPr>
        <w:t xml:space="preserve">On 17 October 2026 Edward Mazibuko decided that the probability of default (PD) is measured on </w:t>
      </w:r>
      <w:r>
        <w:rPr>
          <w:b/>
          <w:i w:val="0"/>
        </w:rPr>
        <w:t>two pools</w:t>
      </w:r>
      <w:r>
        <w:rPr>
          <w:b w:val="0"/>
          <w:i w:val="0"/>
        </w:rPr>
        <w:t>:</w:t>
      </w:r>
    </w:p>
    <w:p>
      <w:pPr>
        <w:pStyle w:val="ListNumber"/>
        <w:jc w:val="both"/>
      </w:pPr>
      <w:r>
        <w:rPr>
          <w:b/>
          <w:i w:val="0"/>
        </w:rPr>
        <w:t>MAIIC's own book</w:t>
      </w:r>
      <w:r>
        <w:rPr>
          <w:b w:val="0"/>
          <w:i w:val="0"/>
        </w:rPr>
        <w:t>: every MAIIC loan, across all its lending portfolios, measured as one pool.</w:t>
      </w:r>
    </w:p>
    <w:p>
      <w:pPr>
        <w:pStyle w:val="ListNumber"/>
        <w:jc w:val="both"/>
      </w:pPr>
      <w:r>
        <w:rPr>
          <w:b/>
          <w:i w:val="0"/>
        </w:rPr>
        <w:t>The Mega Farm programme</w:t>
      </w:r>
      <w:r>
        <w:rPr>
          <w:b w:val="0"/>
          <w:i w:val="0"/>
        </w:rPr>
        <w:t>: the programme's own loans, measured as a pool of their own.</w:t>
      </w:r>
    </w:p>
    <w:p>
      <w:pPr>
        <w:spacing w:after="120"/>
        <w:jc w:val="both"/>
      </w:pPr>
      <w:r>
        <w:rPr>
          <w:b w:val="0"/>
          <w:i w:val="0"/>
        </w:rPr>
        <w:t>Neither pool is ever measured with the other's loans. The ECL is still reported by portfolio; only the PD's source changes. He also asked that Mega Farm's former method keep running beside the new one in every bootstrap, for comparison.</w:t>
      </w:r>
    </w:p>
    <w:p>
      <w:pPr>
        <w:pStyle w:val="Heading2"/>
      </w:pPr>
      <w:r>
        <w:t>2. What it replaced, and why</w:t>
      </w:r>
    </w:p>
    <w:p>
      <w:pPr>
        <w:spacing w:after="120"/>
        <w:jc w:val="both"/>
      </w:pPr>
      <w:r>
        <w:rPr>
          <w:b/>
          <w:i w:val="0"/>
        </w:rPr>
        <w:t>MAIIC's book.</w:t>
      </w:r>
      <w:r>
        <w:rPr>
          <w:b w:val="0"/>
          <w:i w:val="0"/>
        </w:rPr>
        <w:t xml:space="preserve"> Until now the seeded basis was "By portfolio". Each of six portfolios (MAIIC Industrial, MAIIC Agricultural, MAIIC Term, MAIIC Loans GL 1050103, FInES Industrial, FInES Agricultural) had its own PD per stage, and a portfolio-stage below the governed minimum took the pooled book's PD instead.</w:t>
      </w:r>
    </w:p>
    <w:p>
      <w:pPr>
        <w:spacing w:after="120"/>
        <w:jc w:val="both"/>
      </w:pPr>
      <w:r>
        <w:rPr>
          <w:b w:val="0"/>
          <w:i w:val="0"/>
        </w:rPr>
        <w:t>In December 2025 the minimum was met only by FInES Industrial (stage 1) and FInES Agricultural (stages 1 and 2). Every MAIIC portfolio borrowed the pooled figure for stages 1 and 2. With about 34 stage 1 loans in the whole book, splitting it gave mostly borrowed numbers with a few thin own ones. One pool states that honestly.</w:t>
      </w:r>
    </w:p>
    <w:p>
      <w:pPr>
        <w:spacing w:after="120"/>
        <w:jc w:val="both"/>
      </w:pPr>
      <w:r>
        <w:rPr>
          <w:b/>
          <w:i w:val="0"/>
        </w:rPr>
        <w:t>Mega Farm.</w:t>
      </w:r>
      <w:r>
        <w:rPr>
          <w:b w:val="0"/>
          <w:i w:val="0"/>
        </w:rPr>
        <w:t xml:space="preserve"> The seeded method was "Agricultural-sector PD scaled to the programme" (spec v4 section 16.8). It took MAIIC's agricultural PD and multiplied it by a scalar measured from the programme's cohort default rate, capped at 40 times. The programme's own transition matrix was listed as an option but never built: choosing it declined the run. It is now built and is the seeded method. This departs from spec v4 16.8's plan to wait for three seasons. That is a decision recorded here, not an oversight.</w:t>
      </w:r>
    </w:p>
    <w:p>
      <w:pPr>
        <w:pStyle w:val="Heading2"/>
      </w:pPr>
      <w:r>
        <w:t>3. The governed settings</w:t>
      </w:r>
    </w:p>
    <w:tbl>
      <w:tblPr>
        <w:tblStyle w:val="TableGrid"/>
        <w:tblW w:type="auto" w:w="0"/>
        <w:tblLook w:firstColumn="1" w:firstRow="1" w:lastColumn="0" w:lastRow="0" w:noHBand="0" w:noVBand="1" w:val="04A0"/>
      </w:tblPr>
      <w:tblGrid>
        <w:gridCol w:w="2493"/>
        <w:gridCol w:w="2493"/>
        <w:gridCol w:w="2493"/>
        <w:gridCol w:w="2493"/>
      </w:tblGrid>
      <w:tr>
        <w:trPr>
          <w:cantSplit/>
          <w:tblHeader/>
        </w:trPr>
        <w:tc>
          <w:tcPr>
            <w:tcW w:type="dxa" w:w="2493"/>
            <w:shd w:val="clear" w:color="auto" w:fill="1B2A41"/>
          </w:tcPr>
          <w:p>
            <w:r>
              <w:rPr>
                <w:b/>
                <w:color w:val="FFFFFF"/>
                <w:sz w:val="17"/>
              </w:rPr>
            </w:r>
            <w:r>
              <w:rPr>
                <w:b/>
                <w:i w:val="0"/>
                <w:color w:val="FFFFFF"/>
                <w:sz w:val="17"/>
              </w:rPr>
              <w:t>Setting</w:t>
            </w:r>
          </w:p>
        </w:tc>
        <w:tc>
          <w:tcPr>
            <w:tcW w:type="dxa" w:w="2493"/>
            <w:shd w:val="clear" w:color="auto" w:fill="1B2A41"/>
          </w:tcPr>
          <w:p>
            <w:r>
              <w:rPr>
                <w:b/>
                <w:color w:val="FFFFFF"/>
                <w:sz w:val="17"/>
              </w:rPr>
            </w:r>
            <w:r>
              <w:rPr>
                <w:b/>
                <w:i w:val="0"/>
                <w:color w:val="FFFFFF"/>
                <w:sz w:val="17"/>
              </w:rPr>
              <w:t>Seeded default now</w:t>
            </w:r>
          </w:p>
        </w:tc>
        <w:tc>
          <w:tcPr>
            <w:tcW w:type="dxa" w:w="2493"/>
            <w:shd w:val="clear" w:color="auto" w:fill="1B2A41"/>
          </w:tcPr>
          <w:p>
            <w:r>
              <w:rPr>
                <w:b/>
                <w:color w:val="FFFFFF"/>
                <w:sz w:val="17"/>
              </w:rPr>
            </w:r>
            <w:r>
              <w:rPr>
                <w:b/>
                <w:i w:val="0"/>
                <w:color w:val="FFFFFF"/>
                <w:sz w:val="17"/>
              </w:rPr>
              <w:t>Was</w:t>
            </w:r>
          </w:p>
        </w:tc>
        <w:tc>
          <w:tcPr>
            <w:tcW w:type="dxa" w:w="2493"/>
            <w:shd w:val="clear" w:color="auto" w:fill="1B2A41"/>
          </w:tcPr>
          <w:p>
            <w:r>
              <w:rPr>
                <w:b/>
                <w:color w:val="FFFFFF"/>
                <w:sz w:val="17"/>
              </w:rPr>
            </w:r>
            <w:r>
              <w:rPr>
                <w:b/>
                <w:i w:val="0"/>
                <w:color w:val="FFFFFF"/>
                <w:sz w:val="17"/>
              </w:rPr>
              <w:t>Options</w:t>
            </w:r>
          </w:p>
        </w:tc>
      </w:tr>
      <w:tr>
        <w:trPr>
          <w:cantSplit/>
        </w:trPr>
        <w:tc>
          <w:tcPr>
            <w:tcW w:type="dxa" w:w="2493"/>
          </w:tcPr>
          <w:p>
            <w:r>
              <w:rPr>
                <w:b w:val="0"/>
                <w:sz w:val="17"/>
              </w:rPr>
            </w:r>
            <w:r>
              <w:rPr>
                <w:rFonts w:ascii="Consolas" w:hAnsi="Consolas"/>
                <w:b w:val="0"/>
                <w:i w:val="0"/>
                <w:sz w:val="17"/>
              </w:rPr>
              <w:t>pd_segmentation_basis</w:t>
            </w:r>
          </w:p>
        </w:tc>
        <w:tc>
          <w:tcPr>
            <w:tcW w:type="dxa" w:w="2493"/>
          </w:tcPr>
          <w:p>
            <w:r>
              <w:rPr>
                <w:b w:val="0"/>
                <w:sz w:val="17"/>
              </w:rPr>
            </w:r>
            <w:r>
              <w:rPr>
                <w:b w:val="0"/>
                <w:i w:val="0"/>
                <w:sz w:val="17"/>
              </w:rPr>
              <w:t>Pooled book</w:t>
            </w:r>
          </w:p>
        </w:tc>
        <w:tc>
          <w:tcPr>
            <w:tcW w:type="dxa" w:w="2493"/>
          </w:tcPr>
          <w:p>
            <w:r>
              <w:rPr>
                <w:b w:val="0"/>
                <w:sz w:val="17"/>
              </w:rPr>
            </w:r>
            <w:r>
              <w:rPr>
                <w:b w:val="0"/>
                <w:i w:val="0"/>
                <w:sz w:val="17"/>
              </w:rPr>
              <w:t>By portfolio</w:t>
            </w:r>
          </w:p>
        </w:tc>
        <w:tc>
          <w:tcPr>
            <w:tcW w:type="dxa" w:w="2493"/>
          </w:tcPr>
          <w:p>
            <w:r>
              <w:rPr>
                <w:b w:val="0"/>
                <w:sz w:val="17"/>
              </w:rPr>
            </w:r>
            <w:r>
              <w:rPr>
                <w:b w:val="0"/>
                <w:i w:val="0"/>
                <w:sz w:val="17"/>
              </w:rPr>
              <w:t>By portfolio; Pooled book; By RBM sector; By portfolio and RBM sector</w:t>
            </w:r>
          </w:p>
        </w:tc>
      </w:tr>
      <w:tr>
        <w:trPr>
          <w:cantSplit/>
        </w:trPr>
        <w:tc>
          <w:tcPr>
            <w:tcW w:type="dxa" w:w="2493"/>
          </w:tcPr>
          <w:p>
            <w:r>
              <w:rPr>
                <w:b w:val="0"/>
                <w:sz w:val="17"/>
              </w:rPr>
            </w:r>
            <w:r>
              <w:rPr>
                <w:rFonts w:ascii="Consolas" w:hAnsi="Consolas"/>
                <w:b w:val="0"/>
                <w:i w:val="0"/>
                <w:sz w:val="17"/>
              </w:rPr>
              <w:t>megafarm_pd_method</w:t>
            </w:r>
          </w:p>
        </w:tc>
        <w:tc>
          <w:tcPr>
            <w:tcW w:type="dxa" w:w="2493"/>
          </w:tcPr>
          <w:p>
            <w:r>
              <w:rPr>
                <w:b w:val="0"/>
                <w:sz w:val="17"/>
              </w:rPr>
            </w:r>
            <w:r>
              <w:rPr>
                <w:b w:val="0"/>
                <w:i w:val="0"/>
                <w:sz w:val="17"/>
              </w:rPr>
              <w:t>Transition matrix on the programme history</w:t>
            </w:r>
          </w:p>
        </w:tc>
        <w:tc>
          <w:tcPr>
            <w:tcW w:type="dxa" w:w="2493"/>
          </w:tcPr>
          <w:p>
            <w:r>
              <w:rPr>
                <w:b w:val="0"/>
                <w:sz w:val="17"/>
              </w:rPr>
            </w:r>
            <w:r>
              <w:rPr>
                <w:b w:val="0"/>
                <w:i w:val="0"/>
                <w:sz w:val="17"/>
              </w:rPr>
              <w:t>Agricultural-sector PD scaled to the programme</w:t>
            </w:r>
          </w:p>
        </w:tc>
        <w:tc>
          <w:tcPr>
            <w:tcW w:type="dxa" w:w="2493"/>
          </w:tcPr>
          <w:p>
            <w:r>
              <w:rPr>
                <w:b w:val="0"/>
                <w:sz w:val="17"/>
              </w:rPr>
            </w:r>
            <w:r>
              <w:rPr>
                <w:b w:val="0"/>
                <w:i w:val="0"/>
                <w:sz w:val="17"/>
              </w:rPr>
              <w:t>the same four as before</w:t>
            </w:r>
          </w:p>
        </w:tc>
      </w:tr>
      <w:tr>
        <w:trPr>
          <w:cantSplit/>
        </w:trPr>
        <w:tc>
          <w:tcPr>
            <w:tcW w:type="dxa" w:w="2493"/>
          </w:tcPr>
          <w:p>
            <w:r>
              <w:rPr>
                <w:b w:val="0"/>
                <w:sz w:val="17"/>
              </w:rPr>
            </w:r>
            <w:r>
              <w:rPr>
                <w:rFonts w:ascii="Consolas" w:hAnsi="Consolas"/>
                <w:b w:val="0"/>
                <w:i w:val="0"/>
                <w:sz w:val="17"/>
              </w:rPr>
              <w:t>pd_segment_min_observations</w:t>
            </w:r>
          </w:p>
        </w:tc>
        <w:tc>
          <w:tcPr>
            <w:tcW w:type="dxa" w:w="2493"/>
          </w:tcPr>
          <w:p>
            <w:r>
              <w:rPr>
                <w:b w:val="0"/>
                <w:sz w:val="17"/>
              </w:rPr>
            </w:r>
            <w:r>
              <w:rPr>
                <w:b w:val="0"/>
                <w:i w:val="0"/>
                <w:sz w:val="17"/>
              </w:rPr>
              <w:t>10 loans and 1 default per stage</w:t>
            </w:r>
          </w:p>
        </w:tc>
        <w:tc>
          <w:tcPr>
            <w:tcW w:type="dxa" w:w="2493"/>
          </w:tcPr>
          <w:p>
            <w:r>
              <w:rPr>
                <w:b w:val="0"/>
                <w:sz w:val="17"/>
              </w:rPr>
            </w:r>
            <w:r>
              <w:rPr>
                <w:b w:val="0"/>
                <w:i w:val="0"/>
                <w:sz w:val="17"/>
              </w:rPr>
              <w:t>unchanged</w:t>
            </w:r>
          </w:p>
        </w:tc>
        <w:tc>
          <w:tcPr>
            <w:tcW w:type="dxa" w:w="2493"/>
          </w:tcPr>
          <w:p>
            <w:r>
              <w:rPr>
                <w:b w:val="0"/>
                <w:sz w:val="17"/>
              </w:rPr>
            </w:r>
          </w:p>
        </w:tc>
      </w:tr>
      <w:tr>
        <w:trPr>
          <w:cantSplit/>
        </w:trPr>
        <w:tc>
          <w:tcPr>
            <w:tcW w:type="dxa" w:w="2493"/>
          </w:tcPr>
          <w:p>
            <w:r>
              <w:rPr>
                <w:b w:val="0"/>
                <w:sz w:val="17"/>
              </w:rPr>
            </w:r>
            <w:r>
              <w:rPr>
                <w:rFonts w:ascii="Consolas" w:hAnsi="Consolas"/>
                <w:b w:val="0"/>
                <w:i w:val="0"/>
                <w:sz w:val="17"/>
              </w:rPr>
              <w:t>pd_segment_thin_rule</w:t>
            </w:r>
          </w:p>
        </w:tc>
        <w:tc>
          <w:tcPr>
            <w:tcW w:type="dxa" w:w="2493"/>
          </w:tcPr>
          <w:p>
            <w:r>
              <w:rPr>
                <w:b w:val="0"/>
                <w:sz w:val="17"/>
              </w:rPr>
            </w:r>
            <w:r>
              <w:rPr>
                <w:b w:val="0"/>
                <w:i w:val="0"/>
                <w:sz w:val="17"/>
              </w:rPr>
              <w:t>Take the parent: portfolio, then the pooled book</w:t>
            </w:r>
          </w:p>
        </w:tc>
        <w:tc>
          <w:tcPr>
            <w:tcW w:type="dxa" w:w="2493"/>
          </w:tcPr>
          <w:p>
            <w:r>
              <w:rPr>
                <w:b w:val="0"/>
                <w:sz w:val="17"/>
              </w:rPr>
            </w:r>
            <w:r>
              <w:rPr>
                <w:b w:val="0"/>
                <w:i w:val="0"/>
                <w:sz w:val="17"/>
              </w:rPr>
              <w:t>unchanged</w:t>
            </w:r>
          </w:p>
        </w:tc>
        <w:tc>
          <w:tcPr>
            <w:tcW w:type="dxa" w:w="2493"/>
          </w:tcPr>
          <w:p>
            <w:r>
              <w:rPr>
                <w:b w:val="0"/>
                <w:sz w:val="17"/>
              </w:rPr>
            </w:r>
          </w:p>
        </w:tc>
      </w:tr>
    </w:tbl>
    <w:p/>
    <w:p>
      <w:pPr>
        <w:spacing w:after="120"/>
        <w:jc w:val="both"/>
      </w:pPr>
      <w:r>
        <w:rPr>
          <w:b w:val="0"/>
          <w:i w:val="0"/>
        </w:rPr>
        <w:t xml:space="preserve">Defaults live in </w:t>
      </w:r>
      <w:r>
        <w:rPr>
          <w:rFonts w:ascii="Consolas" w:hAnsi="Consolas"/>
          <w:b w:val="0"/>
          <w:i w:val="0"/>
          <w:sz w:val="18"/>
        </w:rPr>
        <w:t>GovernanceService::catalogue()</w:t>
      </w:r>
      <w:r>
        <w:rPr>
          <w:b w:val="0"/>
          <w:i w:val="0"/>
        </w:rPr>
        <w:t xml:space="preserve"> and are written by </w:t>
      </w:r>
      <w:r>
        <w:rPr>
          <w:rFonts w:ascii="Consolas" w:hAnsi="Consolas"/>
          <w:b w:val="0"/>
          <w:i w:val="0"/>
          <w:sz w:val="18"/>
        </w:rPr>
        <w:t>GovernanceSettingsSeeder</w:t>
      </w:r>
      <w:r>
        <w:rPr>
          <w:b w:val="0"/>
          <w:i w:val="0"/>
        </w:rPr>
        <w:t>. The seeder only adds a setting a database does not have yet. So a fresh install or bootstrap gets the new defaults, and an existing database keeps the value it already holds (section 6).</w:t>
      </w:r>
    </w:p>
    <w:p>
      <w:pPr>
        <w:pStyle w:val="Heading2"/>
      </w:pPr>
      <w:r>
        <w:t>4. How each pool is measured</w:t>
      </w:r>
    </w:p>
    <w:p>
      <w:pPr>
        <w:pStyle w:val="Heading3"/>
      </w:pPr>
      <w:r>
        <w:t>4.1 MAIIC's book</w:t>
      </w:r>
    </w:p>
    <w:p>
      <w:pPr>
        <w:spacing w:after="120"/>
        <w:jc w:val="both"/>
      </w:pPr>
      <w:r>
        <w:rPr>
          <w:rFonts w:ascii="Consolas" w:hAnsi="Consolas"/>
          <w:b w:val="0"/>
          <w:i w:val="0"/>
          <w:sz w:val="18"/>
        </w:rPr>
        <w:t>PdSegmentationService</w:t>
      </w:r>
      <w:r>
        <w:rPr>
          <w:b w:val="0"/>
          <w:i w:val="0"/>
        </w:rPr>
        <w:t xml:space="preserve"> measures it on the basis "book":</w:t>
      </w:r>
    </w:p>
    <w:p>
      <w:pPr>
        <w:pStyle w:val="ListBullet"/>
        <w:jc w:val="both"/>
      </w:pPr>
      <w:r>
        <w:rPr>
          <w:b/>
          <w:i w:val="0"/>
        </w:rPr>
        <w:t>Loans:</w:t>
      </w:r>
      <w:r>
        <w:rPr>
          <w:b w:val="0"/>
          <w:i w:val="0"/>
        </w:rPr>
        <w:t xml:space="preserve"> every loan in a MAIIC portfolio. </w:t>
      </w:r>
      <w:r>
        <w:rPr>
          <w:rFonts w:ascii="Consolas" w:hAnsi="Consolas"/>
          <w:b w:val="0"/>
          <w:i w:val="0"/>
          <w:sz w:val="18"/>
        </w:rPr>
        <w:t>scope()</w:t>
      </w:r>
      <w:r>
        <w:rPr>
          <w:b w:val="0"/>
          <w:i w:val="0"/>
        </w:rPr>
        <w:t xml:space="preserve"> leaves out any portfolio holding only Mega Farm GLs, and stops the run if a portfolio mixes the two.</w:t>
      </w:r>
    </w:p>
    <w:p>
      <w:pPr>
        <w:pStyle w:val="ListBullet"/>
        <w:jc w:val="both"/>
      </w:pPr>
      <w:r>
        <w:rPr>
          <w:b/>
          <w:i w:val="0"/>
        </w:rPr>
        <w:t>Window and observations:</w:t>
      </w:r>
      <w:r>
        <w:rPr>
          <w:b w:val="0"/>
          <w:i w:val="0"/>
        </w:rPr>
        <w:t xml:space="preserve"> a cohort per stage at the start of a twelve-month window, followed to its end. A loan with a nil or credit balance at the start is no observation.</w:t>
      </w:r>
    </w:p>
    <w:p>
      <w:pPr>
        <w:pStyle w:val="ListBullet"/>
        <w:jc w:val="both"/>
      </w:pPr>
      <w:r>
        <w:rPr>
          <w:b/>
          <w:i w:val="0"/>
        </w:rPr>
        <w:t>What counts as a default:</w:t>
      </w:r>
      <w:r>
        <w:rPr>
          <w:b w:val="0"/>
          <w:i w:val="0"/>
        </w:rPr>
        <w:t xml:space="preserve"> a loan that reached stage 3, left the book unpaid, or was written off inside the window.</w:t>
      </w:r>
    </w:p>
    <w:p>
      <w:pPr>
        <w:pStyle w:val="ListBullet"/>
        <w:jc w:val="both"/>
      </w:pPr>
      <w:r>
        <w:rPr>
          <w:b/>
          <w:i w:val="0"/>
        </w:rPr>
        <w:t>The PD:</w:t>
      </w:r>
      <w:r>
        <w:rPr>
          <w:b w:val="0"/>
          <w:i w:val="0"/>
        </w:rPr>
        <w:t xml:space="preserve"> the defaulted balance over the starting balance, annualised when the window is shorter than twelve months.</w:t>
      </w:r>
    </w:p>
    <w:p>
      <w:pPr>
        <w:pStyle w:val="ListBullet"/>
        <w:jc w:val="both"/>
      </w:pPr>
      <w:r>
        <w:rPr>
          <w:b/>
          <w:i w:val="0"/>
        </w:rPr>
        <w:t>Stage 3</w:t>
      </w:r>
      <w:r>
        <w:rPr>
          <w:b w:val="0"/>
          <w:i w:val="0"/>
        </w:rPr>
        <w:t xml:space="preserve"> is 100%.</w:t>
      </w:r>
    </w:p>
    <w:p>
      <w:pPr>
        <w:spacing w:after="120"/>
        <w:jc w:val="both"/>
      </w:pPr>
      <w:r>
        <w:rPr>
          <w:b w:val="0"/>
          <w:i w:val="0"/>
        </w:rPr>
        <w:t xml:space="preserve">Every MAIIC loan carries </w:t>
      </w:r>
      <w:r>
        <w:rPr>
          <w:rFonts w:ascii="Consolas" w:hAnsi="Consolas"/>
          <w:b w:val="0"/>
          <w:i w:val="0"/>
          <w:sz w:val="18"/>
        </w:rPr>
        <w:t>pd_segment_key</w:t>
      </w:r>
      <w:r>
        <w:rPr>
          <w:b w:val="0"/>
          <w:i w:val="0"/>
        </w:rPr>
        <w:t xml:space="preserve"> and </w:t>
      </w:r>
      <w:r>
        <w:rPr>
          <w:rFonts w:ascii="Consolas" w:hAnsi="Consolas"/>
          <w:b w:val="0"/>
          <w:i w:val="0"/>
          <w:sz w:val="18"/>
        </w:rPr>
        <w:t>pd_applied_segment_key</w:t>
      </w:r>
      <w:r>
        <w:rPr>
          <w:b w:val="0"/>
          <w:i w:val="0"/>
        </w:rPr>
        <w:t xml:space="preserve"> both set to "book", with the run and matrix ids. A thin pooled stage has no parent to take. Under "Take the parent" the run stops and names the stage, as before.</w:t>
      </w:r>
    </w:p>
    <w:p>
      <w:pPr>
        <w:pStyle w:val="Heading3"/>
      </w:pPr>
      <w:r>
        <w:t>4.2 The Mega Farm programme</w:t>
      </w:r>
    </w:p>
    <w:p>
      <w:pPr>
        <w:spacing w:after="120"/>
        <w:jc w:val="both"/>
      </w:pPr>
      <w:r>
        <w:rPr>
          <w:rFonts w:ascii="Consolas" w:hAnsi="Consolas"/>
          <w:b w:val="0"/>
          <w:i w:val="0"/>
          <w:sz w:val="18"/>
        </w:rPr>
        <w:t>MegaFarmEclService::programmePdByStage($period)</w:t>
      </w:r>
      <w:r>
        <w:rPr>
          <w:b w:val="0"/>
          <w:i w:val="0"/>
        </w:rPr>
        <w:t xml:space="preserve"> measures the programme's own portfolio with the same engine, the same measure and the same window, on the basis "book":</w:t>
      </w:r>
    </w:p>
    <w:p>
      <w:pPr>
        <w:pStyle w:val="ListBullet"/>
        <w:jc w:val="both"/>
      </w:pPr>
      <w:r>
        <w:rPr>
          <w:b/>
          <w:i w:val="0"/>
        </w:rPr>
        <w:t>Loans:</w:t>
      </w:r>
      <w:r>
        <w:rPr>
          <w:b w:val="0"/>
          <w:i w:val="0"/>
        </w:rPr>
        <w:t xml:space="preserve"> the programme's portfolio, as </w:t>
      </w:r>
      <w:r>
        <w:rPr>
          <w:rFonts w:ascii="Consolas" w:hAnsi="Consolas"/>
          <w:b w:val="0"/>
          <w:i w:val="0"/>
          <w:sz w:val="18"/>
        </w:rPr>
        <w:t>programmePortfolios()</w:t>
      </w:r>
      <w:r>
        <w:rPr>
          <w:b w:val="0"/>
          <w:i w:val="0"/>
        </w:rPr>
        <w:t xml:space="preserve"> finds it after </w:t>
      </w:r>
      <w:r>
        <w:rPr>
          <w:rFonts w:ascii="Consolas" w:hAnsi="Consolas"/>
          <w:b w:val="0"/>
          <w:i w:val="0"/>
          <w:sz w:val="18"/>
        </w:rPr>
        <w:t>ifrs9:segment-portfolios</w:t>
      </w:r>
      <w:r>
        <w:rPr>
          <w:b w:val="0"/>
          <w:i w:val="0"/>
        </w:rPr>
        <w:t>.</w:t>
      </w:r>
    </w:p>
    <w:p>
      <w:pPr>
        <w:pStyle w:val="ListBullet"/>
        <w:jc w:val="both"/>
      </w:pPr>
      <w:r>
        <w:rPr>
          <w:b/>
          <w:i w:val="0"/>
        </w:rPr>
        <w:t>Stages 1 and 2</w:t>
      </w:r>
      <w:r>
        <w:rPr>
          <w:b w:val="0"/>
          <w:i w:val="0"/>
        </w:rPr>
        <w:t xml:space="preserve"> take the pool's own annual rate.</w:t>
      </w:r>
    </w:p>
    <w:p>
      <w:pPr>
        <w:pStyle w:val="ListBullet"/>
        <w:jc w:val="both"/>
      </w:pPr>
      <w:r>
        <w:rPr>
          <w:b/>
          <w:i w:val="0"/>
        </w:rPr>
        <w:t>Thin stages:</w:t>
      </w:r>
      <w:r>
        <w:rPr>
          <w:b w:val="0"/>
          <w:i w:val="0"/>
        </w:rPr>
        <w:t xml:space="preserve"> a stage below the governed minimum is </w:t>
      </w:r>
      <w:r>
        <w:rPr>
          <w:b/>
          <w:i w:val="0"/>
        </w:rPr>
        <w:t>declined</w:t>
      </w:r>
      <w:r>
        <w:rPr>
          <w:b w:val="0"/>
          <w:i w:val="0"/>
        </w:rPr>
        <w:t xml:space="preserve"> with the counts and the window named. It never takes MAIIC's PD, since there is no pool above the programme's.</w:t>
      </w:r>
    </w:p>
    <w:p>
      <w:pPr>
        <w:pStyle w:val="ListBullet"/>
        <w:jc w:val="both"/>
      </w:pPr>
      <w:r>
        <w:rPr>
          <w:b/>
          <w:i w:val="0"/>
        </w:rPr>
        <w:t>Stage 3</w:t>
      </w:r>
      <w:r>
        <w:rPr>
          <w:b w:val="0"/>
          <w:i w:val="0"/>
        </w:rPr>
        <w:t xml:space="preserve"> is 100%.</w:t>
      </w:r>
    </w:p>
    <w:p>
      <w:pPr>
        <w:pStyle w:val="ListBullet"/>
        <w:jc w:val="both"/>
      </w:pPr>
      <w:r>
        <w:rPr>
          <w:b/>
          <w:i w:val="0"/>
        </w:rPr>
        <w:t>The recorded basis:</w:t>
      </w:r>
      <w:r>
        <w:rPr>
          <w:b w:val="0"/>
          <w:i w:val="0"/>
        </w:rPr>
        <w:t xml:space="preserve"> the run's </w:t>
      </w:r>
      <w:r>
        <w:rPr>
          <w:rFonts w:ascii="Consolas" w:hAnsi="Consolas"/>
          <w:b w:val="0"/>
          <w:i w:val="0"/>
          <w:sz w:val="18"/>
        </w:rPr>
        <w:t>basis</w:t>
      </w:r>
      <w:r>
        <w:rPr>
          <w:b w:val="0"/>
          <w:i w:val="0"/>
        </w:rPr>
        <w:t xml:space="preserve"> holds the window, the portfolios, the minimum and each stage's cohort (loans, defaults, balances, rate).</w:t>
      </w:r>
    </w:p>
    <w:p>
      <w:pPr>
        <w:spacing w:after="120"/>
        <w:jc w:val="both"/>
      </w:pPr>
      <w:r>
        <w:rPr>
          <w:b w:val="0"/>
          <w:i w:val="0"/>
        </w:rPr>
        <w:t>The LGD (the programme's own stage 3 cohort workout), the EAD (</w:t>
      </w:r>
      <w:r>
        <w:rPr>
          <w:rFonts w:ascii="Consolas" w:hAnsi="Consolas"/>
          <w:b w:val="0"/>
          <w:i w:val="0"/>
          <w:sz w:val="18"/>
        </w:rPr>
        <w:t>EclExposure</w:t>
      </w:r>
      <w:r>
        <w:rPr>
          <w:b w:val="0"/>
          <w:i w:val="0"/>
        </w:rPr>
        <w:t xml:space="preserve">) and MAIIC's share (from </w:t>
      </w:r>
      <w:r>
        <w:rPr>
          <w:rFonts w:ascii="Consolas" w:hAnsi="Consolas"/>
          <w:b w:val="0"/>
          <w:i w:val="0"/>
          <w:sz w:val="18"/>
        </w:rPr>
        <w:t>mega_farms_scope</w:t>
      </w:r>
      <w:r>
        <w:rPr>
          <w:b w:val="0"/>
          <w:i w:val="0"/>
        </w:rPr>
        <w:t>, 5 percent on net) are unchanged.</w:t>
      </w:r>
    </w:p>
    <w:p>
      <w:pPr>
        <w:pStyle w:val="Heading3"/>
      </w:pPr>
      <w:r>
        <w:t>4.3 The comparison method beside it</w:t>
      </w:r>
    </w:p>
    <w:p>
      <w:pPr>
        <w:spacing w:after="120"/>
        <w:jc w:val="both"/>
      </w:pPr>
      <w:r>
        <w:rPr>
          <w:rFonts w:ascii="Consolas" w:hAnsi="Consolas"/>
          <w:b w:val="0"/>
          <w:i w:val="0"/>
          <w:sz w:val="18"/>
        </w:rPr>
        <w:t>MegaFarmEclService::run($period, $user, $label, $compareWith)</w:t>
      </w:r>
      <w:r>
        <w:rPr>
          <w:b w:val="0"/>
          <w:i w:val="0"/>
        </w:rPr>
        <w:t xml:space="preserve"> runs any other governed method beside the one in force:</w:t>
      </w:r>
    </w:p>
    <w:p>
      <w:pPr>
        <w:pStyle w:val="ListBullet"/>
        <w:jc w:val="both"/>
      </w:pPr>
      <w:r>
        <w:rPr>
          <w:b w:val="0"/>
          <w:i w:val="0"/>
        </w:rPr>
        <w:t xml:space="preserve">It measures the PD, the LGD and the ECL in the same way, and records them in </w:t>
      </w:r>
      <w:r>
        <w:rPr>
          <w:rFonts w:ascii="Consolas" w:hAnsi="Consolas"/>
          <w:b w:val="0"/>
          <w:i w:val="0"/>
          <w:sz w:val="18"/>
        </w:rPr>
        <w:t>megafarm_ecl_runs</w:t>
      </w:r>
      <w:r>
        <w:rPr>
          <w:b w:val="0"/>
          <w:i w:val="0"/>
        </w:rPr>
        <w:t xml:space="preserve"> with </w:t>
      </w:r>
      <w:r>
        <w:rPr>
          <w:rFonts w:ascii="Consolas" w:hAnsi="Consolas"/>
          <w:b w:val="0"/>
          <w:i w:val="0"/>
          <w:sz w:val="18"/>
        </w:rPr>
        <w:t>role</w:t>
      </w:r>
      <w:r>
        <w:rPr>
          <w:b w:val="0"/>
          <w:i w:val="0"/>
        </w:rPr>
        <w:t xml:space="preserve"> set to "comparison".</w:t>
      </w:r>
    </w:p>
    <w:p>
      <w:pPr>
        <w:pStyle w:val="ListBullet"/>
        <w:jc w:val="both"/>
      </w:pPr>
      <w:r>
        <w:rPr>
          <w:b w:val="0"/>
          <w:i w:val="0"/>
        </w:rPr>
        <w:t xml:space="preserve">It </w:t>
      </w:r>
      <w:r>
        <w:rPr>
          <w:b/>
          <w:i w:val="0"/>
        </w:rPr>
        <w:t>writes nothing to the loans</w:t>
      </w:r>
      <w:r>
        <w:rPr>
          <w:b w:val="0"/>
          <w:i w:val="0"/>
        </w:rPr>
        <w:t>.</w:t>
      </w:r>
    </w:p>
    <w:p>
      <w:pPr>
        <w:pStyle w:val="ListBullet"/>
        <w:jc w:val="both"/>
      </w:pPr>
      <w:r>
        <w:rPr>
          <w:b w:val="0"/>
          <w:i w:val="0"/>
        </w:rPr>
        <w:t xml:space="preserve">The booked run has </w:t>
      </w:r>
      <w:r>
        <w:rPr>
          <w:rFonts w:ascii="Consolas" w:hAnsi="Consolas"/>
          <w:b w:val="0"/>
          <w:i w:val="0"/>
          <w:sz w:val="18"/>
        </w:rPr>
        <w:t>role</w:t>
      </w:r>
      <w:r>
        <w:rPr>
          <w:b w:val="0"/>
          <w:i w:val="0"/>
        </w:rPr>
        <w:t xml:space="preserve"> "booked".</w:t>
      </w:r>
    </w:p>
    <w:p>
      <w:pPr>
        <w:pStyle w:val="ListBullet"/>
        <w:jc w:val="both"/>
      </w:pPr>
      <w:r>
        <w:rPr>
          <w:b w:val="0"/>
          <w:i w:val="0"/>
        </w:rPr>
        <w:t>The golden checks (</w:t>
      </w:r>
      <w:r>
        <w:rPr>
          <w:rFonts w:ascii="Consolas" w:hAnsi="Consolas"/>
          <w:b w:val="0"/>
          <w:i w:val="0"/>
          <w:sz w:val="18"/>
        </w:rPr>
        <w:t>BaselineService</w:t>
      </w:r>
      <w:r>
        <w:rPr>
          <w:b w:val="0"/>
          <w:i w:val="0"/>
        </w:rPr>
        <w:t>), the bootstrap's summary line and the PD pool checks read only booked runs.</w:t>
      </w:r>
    </w:p>
    <w:p>
      <w:pPr>
        <w:pStyle w:val="ListBullet"/>
        <w:jc w:val="both"/>
      </w:pPr>
      <w:r>
        <w:rPr>
          <w:b w:val="0"/>
          <w:i w:val="0"/>
        </w:rPr>
        <w:t>The Mega Farm screen labels a comparison "(comparison only, not booked)".</w:t>
      </w:r>
    </w:p>
    <w:p>
      <w:pPr>
        <w:pStyle w:val="ListBullet"/>
        <w:jc w:val="both"/>
      </w:pPr>
      <w:r>
        <w:rPr>
          <w:b w:val="0"/>
          <w:i w:val="0"/>
        </w:rPr>
        <w:t>A method outside the governed list is refused.</w:t>
      </w:r>
    </w:p>
    <w:p>
      <w:pPr>
        <w:spacing w:after="120"/>
        <w:jc w:val="both"/>
      </w:pPr>
      <w:r>
        <w:rPr>
          <w:b w:val="0"/>
          <w:i w:val="0"/>
        </w:rPr>
        <w:t>Under the pooled basis, MAIIC's agricultural loans carry the pooled-book PD. So the comparison method now scales MAIIC's pooled-book PD rather than a separate agricultural one.</w:t>
      </w:r>
    </w:p>
    <w:p>
      <w:pPr>
        <w:pStyle w:val="Heading2"/>
      </w:pPr>
      <w:r>
        <w:t>5. What the bootstrap does and checks</w:t>
      </w:r>
    </w:p>
    <w:p>
      <w:pPr>
        <w:spacing w:after="120"/>
        <w:jc w:val="both"/>
      </w:pPr>
      <w:r>
        <w:rPr>
          <w:b w:val="0"/>
          <w:i w:val="0"/>
        </w:rPr>
        <w:t xml:space="preserve">Seeding: the bootstrap runs </w:t>
      </w:r>
      <w:r>
        <w:rPr>
          <w:rFonts w:ascii="Consolas" w:hAnsi="Consolas"/>
          <w:b w:val="0"/>
          <w:i w:val="0"/>
          <w:sz w:val="18"/>
        </w:rPr>
        <w:t>TransitionProfileDefinitionSeeder</w:t>
      </w:r>
      <w:r>
        <w:rPr>
          <w:b w:val="0"/>
          <w:i w:val="0"/>
        </w:rPr>
        <w:t xml:space="preserve">, </w:t>
      </w:r>
      <w:r>
        <w:rPr>
          <w:rFonts w:ascii="Consolas" w:hAnsi="Consolas"/>
          <w:b w:val="0"/>
          <w:i w:val="0"/>
          <w:sz w:val="18"/>
        </w:rPr>
        <w:t>TransitionProfileOptionSeeder</w:t>
      </w:r>
      <w:r>
        <w:rPr>
          <w:b w:val="0"/>
          <w:i w:val="0"/>
        </w:rPr>
        <w:t xml:space="preserve">, </w:t>
      </w:r>
      <w:r>
        <w:rPr>
          <w:rFonts w:ascii="Consolas" w:hAnsi="Consolas"/>
          <w:b w:val="0"/>
          <w:i w:val="0"/>
          <w:sz w:val="18"/>
        </w:rPr>
        <w:t>MaiicTransitionProfileSeeder</w:t>
      </w:r>
      <w:r>
        <w:rPr>
          <w:b w:val="0"/>
          <w:i w:val="0"/>
        </w:rPr>
        <w:t xml:space="preserve"> (the M101 profile the PD engine grades on) and </w:t>
      </w:r>
      <w:r>
        <w:rPr>
          <w:rFonts w:ascii="Consolas" w:hAnsi="Consolas"/>
          <w:b w:val="0"/>
          <w:i w:val="0"/>
          <w:sz w:val="18"/>
        </w:rPr>
        <w:t>GovernanceSettingsSeeder</w:t>
      </w:r>
      <w:r>
        <w:rPr>
          <w:b w:val="0"/>
          <w:i w:val="0"/>
        </w:rPr>
        <w:t xml:space="preserve"> (the two defaults above).</w:t>
      </w:r>
    </w:p>
    <w:p>
      <w:pPr>
        <w:spacing w:after="120"/>
        <w:jc w:val="both"/>
      </w:pPr>
      <w:r>
        <w:rPr>
          <w:b w:val="0"/>
          <w:i w:val="0"/>
        </w:rPr>
        <w:t xml:space="preserve">For every month, in the order of </w:t>
      </w:r>
      <w:r>
        <w:rPr>
          <w:rFonts w:ascii="Consolas" w:hAnsi="Consolas"/>
          <w:b w:val="0"/>
          <w:i w:val="0"/>
          <w:sz w:val="18"/>
        </w:rPr>
        <w:t>Bootstrap::periodChain()</w:t>
      </w:r>
      <w:r>
        <w:rPr>
          <w:b w:val="0"/>
          <w:i w:val="0"/>
        </w:rPr>
        <w:t>:</w:t>
      </w:r>
    </w:p>
    <w:p>
      <w:pPr>
        <w:pStyle w:val="ListNumber"/>
        <w:jc w:val="both"/>
      </w:pPr>
      <w:r>
        <w:rPr>
          <w:b w:val="0"/>
          <w:i w:val="0"/>
        </w:rPr>
        <w:t>PD and LGD on the pooled MAIIC book.</w:t>
      </w:r>
    </w:p>
    <w:p>
      <w:pPr>
        <w:pStyle w:val="ListNumber"/>
        <w:jc w:val="both"/>
      </w:pPr>
      <w:r>
        <w:rPr>
          <w:b w:val="0"/>
          <w:i w:val="0"/>
        </w:rPr>
        <w:t>The scenario set.</w:t>
      </w:r>
    </w:p>
    <w:p>
      <w:pPr>
        <w:pStyle w:val="ListNumber"/>
        <w:jc w:val="both"/>
      </w:pPr>
      <w:r>
        <w:rPr>
          <w:b w:val="0"/>
          <w:i w:val="0"/>
        </w:rPr>
        <w:t>The forward-looking route.</w:t>
      </w:r>
    </w:p>
    <w:p>
      <w:pPr>
        <w:pStyle w:val="ListNumber"/>
        <w:jc w:val="both"/>
      </w:pPr>
      <w:r>
        <w:rPr>
          <w:b w:val="0"/>
          <w:i w:val="0"/>
        </w:rPr>
        <w:t>The projection.</w:t>
      </w:r>
    </w:p>
    <w:p>
      <w:pPr>
        <w:pStyle w:val="ListNumber"/>
        <w:jc w:val="both"/>
      </w:pPr>
      <w:r>
        <w:rPr>
          <w:b w:val="0"/>
          <w:i w:val="0"/>
        </w:rPr>
        <w:t>The ECL.</w:t>
      </w:r>
    </w:p>
    <w:p>
      <w:pPr>
        <w:pStyle w:val="ListNumber"/>
        <w:jc w:val="both"/>
      </w:pPr>
      <w:r>
        <w:rPr>
          <w:b w:val="0"/>
          <w:i w:val="0"/>
        </w:rPr>
        <w:t>The month record.</w:t>
      </w:r>
    </w:p>
    <w:p>
      <w:pPr>
        <w:pStyle w:val="ListNumber"/>
        <w:jc w:val="both"/>
      </w:pPr>
      <w:r>
        <w:rPr>
          <w:b w:val="0"/>
          <w:i w:val="0"/>
        </w:rPr>
        <w:t>Mega Farm (</w:t>
      </w:r>
      <w:r>
        <w:rPr>
          <w:rFonts w:ascii="Consolas" w:hAnsi="Consolas"/>
          <w:b w:val="0"/>
          <w:i w:val="0"/>
          <w:sz w:val="18"/>
        </w:rPr>
        <w:t>monthMegaFarm</w:t>
      </w:r>
      <w:r>
        <w:rPr>
          <w:b w:val="0"/>
          <w:i w:val="0"/>
        </w:rPr>
        <w:t>). It books the programme's own pool, then runs the scaled agricultural-sector method as a comparison. A failed comparison is recorded and never stops the booked run. The month's report line names both figures.</w:t>
      </w:r>
    </w:p>
    <w:p>
      <w:pPr>
        <w:spacing w:after="120"/>
        <w:jc w:val="both"/>
      </w:pPr>
      <w:r>
        <w:rPr>
          <w:b w:val="0"/>
          <w:i w:val="0"/>
        </w:rPr>
        <w:t>The verify step adds five checks of its own (</w:t>
      </w:r>
      <w:r>
        <w:rPr>
          <w:rFonts w:ascii="Consolas" w:hAnsi="Consolas"/>
          <w:b w:val="0"/>
          <w:i w:val="0"/>
          <w:sz w:val="18"/>
        </w:rPr>
        <w:t>Bootstrap::pdPoolChecks()</w:t>
      </w:r>
      <w:r>
        <w:rPr>
          <w:b w:val="0"/>
          <w:i w:val="0"/>
        </w:rPr>
        <w:t>). Each failure counts as a failed bootstrap. They sit beside the golden numbers, so the golden count is unchanged.</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Check</w:t>
            </w:r>
          </w:p>
        </w:tc>
        <w:tc>
          <w:tcPr>
            <w:tcW w:type="dxa" w:w="4986"/>
            <w:shd w:val="clear" w:color="auto" w:fill="1B2A41"/>
          </w:tcPr>
          <w:p>
            <w:r>
              <w:rPr>
                <w:b/>
                <w:color w:val="FFFFFF"/>
                <w:sz w:val="17"/>
              </w:rPr>
            </w:r>
            <w:r>
              <w:rPr>
                <w:b/>
                <w:i w:val="0"/>
                <w:color w:val="FFFFFF"/>
                <w:sz w:val="17"/>
              </w:rPr>
              <w:t>Fails when</w:t>
            </w:r>
          </w:p>
        </w:tc>
      </w:tr>
      <w:tr>
        <w:trPr>
          <w:cantSplit/>
        </w:trPr>
        <w:tc>
          <w:tcPr>
            <w:tcW w:type="dxa" w:w="4986"/>
          </w:tcPr>
          <w:p>
            <w:r>
              <w:rPr>
                <w:b w:val="0"/>
                <w:sz w:val="17"/>
              </w:rPr>
            </w:r>
            <w:r>
              <w:rPr>
                <w:b w:val="0"/>
                <w:i w:val="0"/>
                <w:sz w:val="17"/>
              </w:rPr>
              <w:t>transition profile M101 seeded</w:t>
            </w:r>
          </w:p>
        </w:tc>
        <w:tc>
          <w:tcPr>
            <w:tcW w:type="dxa" w:w="4986"/>
          </w:tcPr>
          <w:p>
            <w:r>
              <w:rPr>
                <w:b w:val="0"/>
                <w:sz w:val="17"/>
              </w:rPr>
            </w:r>
            <w:r>
              <w:rPr>
                <w:b w:val="0"/>
                <w:i w:val="0"/>
                <w:sz w:val="17"/>
              </w:rPr>
              <w:t>the M101 profile, or its start or end stage options, are missing (the engine would otherwise grade silently on whichever profile came first)</w:t>
            </w:r>
          </w:p>
        </w:tc>
      </w:tr>
      <w:tr>
        <w:trPr>
          <w:cantSplit/>
        </w:trPr>
        <w:tc>
          <w:tcPr>
            <w:tcW w:type="dxa" w:w="4986"/>
          </w:tcPr>
          <w:p>
            <w:r>
              <w:rPr>
                <w:b w:val="0"/>
                <w:sz w:val="17"/>
              </w:rPr>
            </w:r>
            <w:r>
              <w:rPr>
                <w:b w:val="0"/>
                <w:i w:val="0"/>
                <w:sz w:val="17"/>
              </w:rPr>
              <w:t>MAIIC book PD measured as one pool</w:t>
            </w:r>
          </w:p>
        </w:tc>
        <w:tc>
          <w:tcPr>
            <w:tcW w:type="dxa" w:w="4986"/>
          </w:tcPr>
          <w:p>
            <w:r>
              <w:rPr>
                <w:b w:val="0"/>
                <w:sz w:val="17"/>
              </w:rPr>
            </w:r>
            <w:r>
              <w:rPr>
                <w:b w:val="0"/>
                <w:i w:val="0"/>
                <w:sz w:val="17"/>
              </w:rPr>
              <w:t>any applied monthly PD run used a basis other than the pooled book, or none ran</w:t>
            </w:r>
          </w:p>
        </w:tc>
      </w:tr>
      <w:tr>
        <w:trPr>
          <w:cantSplit/>
        </w:trPr>
        <w:tc>
          <w:tcPr>
            <w:tcW w:type="dxa" w:w="4986"/>
          </w:tcPr>
          <w:p>
            <w:r>
              <w:rPr>
                <w:b w:val="0"/>
                <w:sz w:val="17"/>
              </w:rPr>
            </w:r>
            <w:r>
              <w:rPr>
                <w:b w:val="0"/>
                <w:i w:val="0"/>
                <w:sz w:val="17"/>
              </w:rPr>
              <w:t>no Mega Farm loan in the MAIIC pool</w:t>
            </w:r>
          </w:p>
        </w:tc>
        <w:tc>
          <w:tcPr>
            <w:tcW w:type="dxa" w:w="4986"/>
          </w:tcPr>
          <w:p>
            <w:r>
              <w:rPr>
                <w:b w:val="0"/>
                <w:sz w:val="17"/>
              </w:rPr>
            </w:r>
            <w:r>
              <w:rPr>
                <w:b w:val="0"/>
                <w:i w:val="0"/>
                <w:sz w:val="17"/>
              </w:rPr>
              <w:t>a Mega Farm loan carries a MAIIC PD run id</w:t>
            </w:r>
          </w:p>
        </w:tc>
      </w:tr>
      <w:tr>
        <w:trPr>
          <w:cantSplit/>
        </w:trPr>
        <w:tc>
          <w:tcPr>
            <w:tcW w:type="dxa" w:w="4986"/>
          </w:tcPr>
          <w:p>
            <w:r>
              <w:rPr>
                <w:b w:val="0"/>
                <w:sz w:val="17"/>
              </w:rPr>
            </w:r>
            <w:r>
              <w:rPr>
                <w:b w:val="0"/>
                <w:i w:val="0"/>
                <w:sz w:val="17"/>
              </w:rPr>
              <w:t>Mega Farm PD booked on its own pool</w:t>
            </w:r>
          </w:p>
        </w:tc>
        <w:tc>
          <w:tcPr>
            <w:tcW w:type="dxa" w:w="4986"/>
          </w:tcPr>
          <w:p>
            <w:r>
              <w:rPr>
                <w:b w:val="0"/>
                <w:sz w:val="17"/>
              </w:rPr>
            </w:r>
            <w:r>
              <w:rPr>
                <w:b w:val="0"/>
                <w:i w:val="0"/>
                <w:sz w:val="17"/>
              </w:rPr>
              <w:t>a booked run used another method</w:t>
            </w:r>
          </w:p>
        </w:tc>
      </w:tr>
      <w:tr>
        <w:trPr>
          <w:cantSplit/>
        </w:trPr>
        <w:tc>
          <w:tcPr>
            <w:tcW w:type="dxa" w:w="4986"/>
          </w:tcPr>
          <w:p>
            <w:r>
              <w:rPr>
                <w:b w:val="0"/>
                <w:sz w:val="17"/>
              </w:rPr>
            </w:r>
            <w:r>
              <w:rPr>
                <w:b w:val="0"/>
                <w:i w:val="0"/>
                <w:sz w:val="17"/>
              </w:rPr>
              <w:t>scaled agricultural-sector method run beside it</w:t>
            </w:r>
          </w:p>
        </w:tc>
        <w:tc>
          <w:tcPr>
            <w:tcW w:type="dxa" w:w="4986"/>
          </w:tcPr>
          <w:p>
            <w:r>
              <w:rPr>
                <w:b w:val="0"/>
                <w:sz w:val="17"/>
              </w:rPr>
            </w:r>
            <w:r>
              <w:rPr>
                <w:b w:val="0"/>
                <w:i w:val="0"/>
                <w:sz w:val="17"/>
              </w:rPr>
              <w:t>a month with a booked Mega Farm run has no comparison run</w:t>
            </w:r>
          </w:p>
        </w:tc>
      </w:tr>
    </w:tbl>
    <w:p/>
    <w:p>
      <w:pPr>
        <w:pStyle w:val="Heading2"/>
      </w:pPr>
      <w:r>
        <w:t>6. Adopting it in an existing database</w:t>
      </w:r>
    </w:p>
    <w:p>
      <w:pPr>
        <w:spacing w:after="120"/>
        <w:jc w:val="both"/>
      </w:pPr>
      <w:r>
        <w:rPr>
          <w:rFonts w:ascii="Consolas" w:hAnsi="Consolas"/>
          <w:b w:val="0"/>
          <w:i w:val="0"/>
          <w:sz w:val="18"/>
        </w:rPr>
        <w:t>maiic_ifrs9</w:t>
      </w:r>
      <w:r>
        <w:rPr>
          <w:b w:val="0"/>
          <w:i w:val="0"/>
        </w:rPr>
        <w:t xml:space="preserve"> and </w:t>
      </w:r>
      <w:r>
        <w:rPr>
          <w:rFonts w:ascii="Consolas" w:hAnsi="Consolas"/>
          <w:b w:val="0"/>
          <w:i w:val="0"/>
          <w:sz w:val="18"/>
        </w:rPr>
        <w:t>maiic_ifrs9_candidate_20261017</w:t>
      </w:r>
      <w:r>
        <w:rPr>
          <w:b w:val="0"/>
          <w:i w:val="0"/>
        </w:rPr>
        <w:t xml:space="preserve"> were seeded before this change. They still hold "By portfolio" and the scaled method. To adopt the two pools there:</w:t>
      </w:r>
    </w:p>
    <w:p>
      <w:pPr>
        <w:pStyle w:val="ListNumber"/>
        <w:jc w:val="both"/>
      </w:pPr>
      <w:r>
        <w:rPr>
          <w:b w:val="0"/>
          <w:i w:val="0"/>
        </w:rPr>
        <w:t xml:space="preserve">Run the migration </w:t>
      </w:r>
      <w:r>
        <w:rPr>
          <w:rFonts w:ascii="Consolas" w:hAnsi="Consolas"/>
          <w:b w:val="0"/>
          <w:i w:val="0"/>
          <w:sz w:val="18"/>
        </w:rPr>
        <w:t>2026_10_17_180000_add_role_to_megafarm_ecl_runs</w:t>
      </w:r>
      <w:r>
        <w:rPr>
          <w:b w:val="0"/>
          <w:i w:val="0"/>
        </w:rPr>
        <w:t xml:space="preserve">. On </w:t>
      </w:r>
      <w:r>
        <w:rPr>
          <w:rFonts w:ascii="Consolas" w:hAnsi="Consolas"/>
          <w:b w:val="0"/>
          <w:i w:val="0"/>
          <w:sz w:val="18"/>
        </w:rPr>
        <w:t>maiic_ifrs9</w:t>
      </w:r>
      <w:r>
        <w:rPr>
          <w:b w:val="0"/>
          <w:i w:val="0"/>
        </w:rPr>
        <w:t xml:space="preserve"> this is run by Edward from the console.</w:t>
      </w:r>
    </w:p>
    <w:p>
      <w:pPr>
        <w:pStyle w:val="ListNumber"/>
        <w:jc w:val="both"/>
      </w:pPr>
      <w:r>
        <w:rPr>
          <w:b w:val="0"/>
          <w:i w:val="0"/>
        </w:rPr>
        <w:t xml:space="preserve">In the Governance Centre, propose </w:t>
      </w:r>
      <w:r>
        <w:rPr>
          <w:rFonts w:ascii="Consolas" w:hAnsi="Consolas"/>
          <w:b w:val="0"/>
          <w:i w:val="0"/>
          <w:sz w:val="18"/>
        </w:rPr>
        <w:t>pd_segmentation_basis</w:t>
      </w:r>
      <w:r>
        <w:rPr>
          <w:b w:val="0"/>
          <w:i w:val="0"/>
        </w:rPr>
        <w:t xml:space="preserve"> = Pooled book and </w:t>
      </w:r>
      <w:r>
        <w:rPr>
          <w:rFonts w:ascii="Consolas" w:hAnsi="Consolas"/>
          <w:b w:val="0"/>
          <w:i w:val="0"/>
          <w:sz w:val="18"/>
        </w:rPr>
        <w:t>megafarm_pd_method</w:t>
      </w:r>
      <w:r>
        <w:rPr>
          <w:b w:val="0"/>
          <w:i w:val="0"/>
        </w:rPr>
        <w:t xml:space="preserve"> = Transition matrix on the programme history, with an effective date. A second person approves each.</w:t>
      </w:r>
    </w:p>
    <w:p>
      <w:pPr>
        <w:pStyle w:val="ListNumber"/>
        <w:jc w:val="both"/>
      </w:pPr>
      <w:r>
        <w:rPr>
          <w:b w:val="0"/>
          <w:i w:val="0"/>
        </w:rPr>
        <w:t>Rerun PD, LGD, ECL and Mega Farm for the months wanted. A locked month is never restated.</w:t>
      </w:r>
    </w:p>
    <w:p>
      <w:pPr>
        <w:pStyle w:val="Heading2"/>
      </w:pPr>
      <w:r>
        <w:t>7. Effect on the golden numbers</w:t>
      </w:r>
    </w:p>
    <w:p>
      <w:pPr>
        <w:spacing w:after="120"/>
        <w:jc w:val="both"/>
      </w:pPr>
      <w:r>
        <w:rPr>
          <w:b w:val="0"/>
          <w:i w:val="0"/>
        </w:rPr>
        <w:t xml:space="preserve">Every month's MAIIC PD and ECL change, and Mega Farm's ECL changes. So the golden values for the ECL, the stage figures, the S&amp;P comparison and revenue that read them will no longer hold. The before and after will be shown to Edward from a fresh bootstrap. </w:t>
      </w:r>
      <w:r>
        <w:rPr>
          <w:rFonts w:ascii="Consolas" w:hAnsi="Consolas"/>
          <w:b w:val="0"/>
          <w:i w:val="0"/>
          <w:sz w:val="18"/>
        </w:rPr>
        <w:t>docs/bootstrap/golden.json</w:t>
      </w:r>
      <w:r>
        <w:rPr>
          <w:b w:val="0"/>
          <w:i w:val="0"/>
        </w:rPr>
        <w:t xml:space="preserve"> is reset only on his written approval, as its own note requires.</w:t>
      </w:r>
    </w:p>
    <w:p>
      <w:pPr>
        <w:pStyle w:val="Heading2"/>
      </w:pPr>
      <w:r>
        <w:t>8. Files and tests</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What</w:t>
            </w:r>
          </w:p>
        </w:tc>
        <w:tc>
          <w:tcPr>
            <w:tcW w:type="dxa" w:w="4986"/>
            <w:shd w:val="clear" w:color="auto" w:fill="1B2A41"/>
          </w:tcPr>
          <w:p>
            <w:r>
              <w:rPr>
                <w:b/>
                <w:color w:val="FFFFFF"/>
                <w:sz w:val="17"/>
              </w:rPr>
            </w:r>
            <w:r>
              <w:rPr>
                <w:b/>
                <w:i w:val="0"/>
                <w:color w:val="FFFFFF"/>
                <w:sz w:val="17"/>
              </w:rPr>
              <w:t>Where</w:t>
            </w:r>
          </w:p>
        </w:tc>
      </w:tr>
      <w:tr>
        <w:trPr>
          <w:cantSplit/>
        </w:trPr>
        <w:tc>
          <w:tcPr>
            <w:tcW w:type="dxa" w:w="4986"/>
          </w:tcPr>
          <w:p>
            <w:r>
              <w:rPr>
                <w:b w:val="0"/>
                <w:sz w:val="17"/>
              </w:rPr>
            </w:r>
            <w:r>
              <w:rPr>
                <w:b w:val="0"/>
                <w:i w:val="0"/>
                <w:sz w:val="17"/>
              </w:rPr>
              <w:t>Defaults and descriptions</w:t>
            </w:r>
          </w:p>
        </w:tc>
        <w:tc>
          <w:tcPr>
            <w:tcW w:type="dxa" w:w="4986"/>
          </w:tcPr>
          <w:p>
            <w:r>
              <w:rPr>
                <w:b w:val="0"/>
                <w:sz w:val="17"/>
              </w:rPr>
            </w:r>
            <w:r>
              <w:rPr>
                <w:rFonts w:ascii="Consolas" w:hAnsi="Consolas"/>
                <w:b w:val="0"/>
                <w:i w:val="0"/>
                <w:sz w:val="17"/>
              </w:rPr>
              <w:t>app/Services/Eir/GovernanceService.php</w:t>
            </w:r>
          </w:p>
        </w:tc>
      </w:tr>
      <w:tr>
        <w:trPr>
          <w:cantSplit/>
        </w:trPr>
        <w:tc>
          <w:tcPr>
            <w:tcW w:type="dxa" w:w="4986"/>
          </w:tcPr>
          <w:p>
            <w:r>
              <w:rPr>
                <w:b w:val="0"/>
                <w:sz w:val="17"/>
              </w:rPr>
            </w:r>
            <w:r>
              <w:rPr>
                <w:b w:val="0"/>
                <w:i w:val="0"/>
                <w:sz w:val="17"/>
              </w:rPr>
              <w:t>Mega Farm own pool and comparison</w:t>
            </w:r>
          </w:p>
        </w:tc>
        <w:tc>
          <w:tcPr>
            <w:tcW w:type="dxa" w:w="4986"/>
          </w:tcPr>
          <w:p>
            <w:r>
              <w:rPr>
                <w:b w:val="0"/>
                <w:sz w:val="17"/>
              </w:rPr>
            </w:r>
            <w:r>
              <w:rPr>
                <w:rFonts w:ascii="Consolas" w:hAnsi="Consolas"/>
                <w:b w:val="0"/>
                <w:i w:val="0"/>
                <w:sz w:val="17"/>
              </w:rPr>
              <w:t>app/Services/MegaFarm/MegaFarmEclService.php</w:t>
            </w:r>
            <w:r>
              <w:rPr>
                <w:b w:val="0"/>
                <w:i w:val="0"/>
                <w:sz w:val="17"/>
              </w:rPr>
              <w:t xml:space="preserve"> (</w:t>
            </w:r>
            <w:r>
              <w:rPr>
                <w:rFonts w:ascii="Consolas" w:hAnsi="Consolas"/>
                <w:b w:val="0"/>
                <w:i w:val="0"/>
                <w:sz w:val="17"/>
              </w:rPr>
              <w:t>programmePdByStage</w:t>
            </w:r>
            <w:r>
              <w:rPr>
                <w:b w:val="0"/>
                <w:i w:val="0"/>
                <w:sz w:val="17"/>
              </w:rPr>
              <w:t xml:space="preserve">, </w:t>
            </w:r>
            <w:r>
              <w:rPr>
                <w:rFonts w:ascii="Consolas" w:hAnsi="Consolas"/>
                <w:b w:val="0"/>
                <w:i w:val="0"/>
                <w:sz w:val="17"/>
              </w:rPr>
              <w:t>run</w:t>
            </w:r>
            <w:r>
              <w:rPr>
                <w:b w:val="0"/>
                <w:i w:val="0"/>
                <w:sz w:val="17"/>
              </w:rPr>
              <w:t xml:space="preserve">, </w:t>
            </w:r>
            <w:r>
              <w:rPr>
                <w:rFonts w:ascii="Consolas" w:hAnsi="Consolas"/>
                <w:b w:val="0"/>
                <w:i w:val="0"/>
                <w:sz w:val="17"/>
              </w:rPr>
              <w:t>ROLE_BOOKED</w:t>
            </w:r>
            <w:r>
              <w:rPr>
                <w:b w:val="0"/>
                <w:i w:val="0"/>
                <w:sz w:val="17"/>
              </w:rPr>
              <w:t xml:space="preserve">, </w:t>
            </w:r>
            <w:r>
              <w:rPr>
                <w:rFonts w:ascii="Consolas" w:hAnsi="Consolas"/>
                <w:b w:val="0"/>
                <w:i w:val="0"/>
                <w:sz w:val="17"/>
              </w:rPr>
              <w:t>ROLE_COMPARISON</w:t>
            </w:r>
            <w:r>
              <w:rPr>
                <w:b w:val="0"/>
                <w:i w:val="0"/>
                <w:sz w:val="17"/>
              </w:rPr>
              <w:t>)</w:t>
            </w:r>
          </w:p>
        </w:tc>
      </w:tr>
      <w:tr>
        <w:trPr>
          <w:cantSplit/>
        </w:trPr>
        <w:tc>
          <w:tcPr>
            <w:tcW w:type="dxa" w:w="4986"/>
          </w:tcPr>
          <w:p>
            <w:r>
              <w:rPr>
                <w:b w:val="0"/>
                <w:sz w:val="17"/>
              </w:rPr>
            </w:r>
            <w:r>
              <w:rPr>
                <w:b w:val="0"/>
                <w:i w:val="0"/>
                <w:sz w:val="17"/>
              </w:rPr>
              <w:t>Run role column</w:t>
            </w:r>
          </w:p>
        </w:tc>
        <w:tc>
          <w:tcPr>
            <w:tcW w:type="dxa" w:w="4986"/>
          </w:tcPr>
          <w:p>
            <w:r>
              <w:rPr>
                <w:b w:val="0"/>
                <w:sz w:val="17"/>
              </w:rPr>
            </w:r>
            <w:r>
              <w:rPr>
                <w:rFonts w:ascii="Consolas" w:hAnsi="Consolas"/>
                <w:b w:val="0"/>
                <w:i w:val="0"/>
                <w:sz w:val="17"/>
              </w:rPr>
              <w:t>database/migrations/2026_10_17_180000_add_role_to_megafarm_ecl_runs.php</w:t>
            </w:r>
          </w:p>
        </w:tc>
      </w:tr>
      <w:tr>
        <w:trPr>
          <w:cantSplit/>
        </w:trPr>
        <w:tc>
          <w:tcPr>
            <w:tcW w:type="dxa" w:w="4986"/>
          </w:tcPr>
          <w:p>
            <w:r>
              <w:rPr>
                <w:b w:val="0"/>
                <w:sz w:val="17"/>
              </w:rPr>
            </w:r>
            <w:r>
              <w:rPr>
                <w:b w:val="0"/>
                <w:i w:val="0"/>
                <w:sz w:val="17"/>
              </w:rPr>
              <w:t>Bootstrap step and checks</w:t>
            </w:r>
          </w:p>
        </w:tc>
        <w:tc>
          <w:tcPr>
            <w:tcW w:type="dxa" w:w="4986"/>
          </w:tcPr>
          <w:p>
            <w:r>
              <w:rPr>
                <w:b w:val="0"/>
                <w:sz w:val="17"/>
              </w:rPr>
            </w:r>
            <w:r>
              <w:rPr>
                <w:rFonts w:ascii="Consolas" w:hAnsi="Consolas"/>
                <w:b w:val="0"/>
                <w:i w:val="0"/>
                <w:sz w:val="17"/>
              </w:rPr>
              <w:t>app/Console/Commands/Bootstrap.php</w:t>
            </w:r>
            <w:r>
              <w:rPr>
                <w:b w:val="0"/>
                <w:i w:val="0"/>
                <w:sz w:val="17"/>
              </w:rPr>
              <w:t xml:space="preserve"> (</w:t>
            </w:r>
            <w:r>
              <w:rPr>
                <w:rFonts w:ascii="Consolas" w:hAnsi="Consolas"/>
                <w:b w:val="0"/>
                <w:i w:val="0"/>
                <w:sz w:val="17"/>
              </w:rPr>
              <w:t>monthMegaFarm</w:t>
            </w:r>
            <w:r>
              <w:rPr>
                <w:b w:val="0"/>
                <w:i w:val="0"/>
                <w:sz w:val="17"/>
              </w:rPr>
              <w:t xml:space="preserve">, </w:t>
            </w:r>
            <w:r>
              <w:rPr>
                <w:rFonts w:ascii="Consolas" w:hAnsi="Consolas"/>
                <w:b w:val="0"/>
                <w:i w:val="0"/>
                <w:sz w:val="17"/>
              </w:rPr>
              <w:t>pdPoolChecks</w:t>
            </w:r>
            <w:r>
              <w:rPr>
                <w:b w:val="0"/>
                <w:i w:val="0"/>
                <w:sz w:val="17"/>
              </w:rPr>
              <w:t xml:space="preserve">, </w:t>
            </w:r>
            <w:r>
              <w:rPr>
                <w:rFonts w:ascii="Consolas" w:hAnsi="Consolas"/>
                <w:b w:val="0"/>
                <w:i w:val="0"/>
                <w:sz w:val="17"/>
              </w:rPr>
              <w:t>monthLine</w:t>
            </w:r>
            <w:r>
              <w:rPr>
                <w:b w:val="0"/>
                <w:i w:val="0"/>
                <w:sz w:val="17"/>
              </w:rPr>
              <w:t>)</w:t>
            </w:r>
          </w:p>
        </w:tc>
      </w:tr>
      <w:tr>
        <w:trPr>
          <w:cantSplit/>
        </w:trPr>
        <w:tc>
          <w:tcPr>
            <w:tcW w:type="dxa" w:w="4986"/>
          </w:tcPr>
          <w:p>
            <w:r>
              <w:rPr>
                <w:b w:val="0"/>
                <w:sz w:val="17"/>
              </w:rPr>
            </w:r>
            <w:r>
              <w:rPr>
                <w:b w:val="0"/>
                <w:i w:val="0"/>
                <w:sz w:val="17"/>
              </w:rPr>
              <w:t>Readers of booked runs only</w:t>
            </w:r>
          </w:p>
        </w:tc>
        <w:tc>
          <w:tcPr>
            <w:tcW w:type="dxa" w:w="4986"/>
          </w:tcPr>
          <w:p>
            <w:r>
              <w:rPr>
                <w:b w:val="0"/>
                <w:sz w:val="17"/>
              </w:rPr>
            </w:r>
            <w:r>
              <w:rPr>
                <w:rFonts w:ascii="Consolas" w:hAnsi="Consolas"/>
                <w:b w:val="0"/>
                <w:i w:val="0"/>
                <w:sz w:val="17"/>
              </w:rPr>
              <w:t>app/Services/Eir/BaselineService.php</w:t>
            </w:r>
            <w:r>
              <w:rPr>
                <w:b w:val="0"/>
                <w:i w:val="0"/>
                <w:sz w:val="17"/>
              </w:rPr>
              <w:t xml:space="preserve">, </w:t>
            </w:r>
            <w:r>
              <w:rPr>
                <w:rFonts w:ascii="Consolas" w:hAnsi="Consolas"/>
                <w:b w:val="0"/>
                <w:i w:val="0"/>
                <w:sz w:val="17"/>
              </w:rPr>
              <w:t>app/Http/Controllers/MegaFarmController.php</w:t>
            </w:r>
          </w:p>
        </w:tc>
      </w:tr>
      <w:tr>
        <w:trPr>
          <w:cantSplit/>
        </w:trPr>
        <w:tc>
          <w:tcPr>
            <w:tcW w:type="dxa" w:w="4986"/>
          </w:tcPr>
          <w:p>
            <w:r>
              <w:rPr>
                <w:b w:val="0"/>
                <w:sz w:val="17"/>
              </w:rPr>
            </w:r>
            <w:r>
              <w:rPr>
                <w:b w:val="0"/>
                <w:i w:val="0"/>
                <w:sz w:val="17"/>
              </w:rPr>
              <w:t>Tests</w:t>
            </w:r>
          </w:p>
        </w:tc>
        <w:tc>
          <w:tcPr>
            <w:tcW w:type="dxa" w:w="4986"/>
          </w:tcPr>
          <w:p>
            <w:r>
              <w:rPr>
                <w:b w:val="0"/>
                <w:sz w:val="17"/>
              </w:rPr>
            </w:r>
            <w:r>
              <w:rPr>
                <w:rFonts w:ascii="Consolas" w:hAnsi="Consolas"/>
                <w:b w:val="0"/>
                <w:i w:val="0"/>
                <w:sz w:val="17"/>
              </w:rPr>
              <w:t>tests/Feature/Pd/PdSegmentationTest.php</w:t>
            </w:r>
            <w:r>
              <w:rPr>
                <w:b w:val="0"/>
                <w:i w:val="0"/>
                <w:sz w:val="17"/>
              </w:rPr>
              <w:t xml:space="preserve">: the seeded pooled basis; the programme as its own pool; a thin programme stage declined. </w:t>
            </w:r>
            <w:r>
              <w:rPr>
                <w:rFonts w:ascii="Consolas" w:hAnsi="Consolas"/>
                <w:b w:val="0"/>
                <w:i w:val="0"/>
                <w:sz w:val="17"/>
              </w:rPr>
              <w:t>tests/Feature/Ecl/MegaFarmProgrammeSeparationTest.php</w:t>
            </w:r>
            <w:r>
              <w:rPr>
                <w:b w:val="0"/>
                <w:i w:val="0"/>
                <w:sz w:val="17"/>
              </w:rPr>
              <w:t>: a comparison run writes nothing. Tests of the old methods now set those methods explicitly.</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B2A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E07B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PD pools: MAIIC's book and the Mega Farm programme</dc:title>
  <dc:subject/>
  <dc:creator>Dupleix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