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pPr>
        <w:pStyle w:val="Heading2"/>
      </w:pPr>
      <w:r>
        <w:t>1. What this specification does</w:t>
      </w:r>
    </w:p>
    <w:p>
      <w:pPr>
        <w:spacing w:after="120"/>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pPr>
      <w:r>
        <w:rPr>
          <w:b w:val="0"/>
          <w:i w:val="0"/>
        </w:rPr>
        <w:t>Two sets of rules are defined:</w:t>
      </w:r>
    </w:p>
    <w:p>
      <w:pPr>
        <w:pStyle w:val="ListBullet"/>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pPr>
      <w:r>
        <w:rPr>
          <w:b/>
          <w:i w:val="0"/>
        </w:rPr>
        <w:t>The missed-instalment default is not applied</w:t>
      </w:r>
      <w:r>
        <w:rPr>
          <w:b w:val="0"/>
          <w:i w:val="0"/>
        </w:rPr>
        <w:t>, although MAIIC's 2025 financial statements (note 22.8.1) describe it as the policy.</w:t>
      </w:r>
    </w:p>
    <w:p>
      <w:pPr>
        <w:pStyle w:val="ListNumber"/>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pPr>
      <w:r>
        <w:rPr>
          <w:b/>
          <w:i w:val="0"/>
        </w:rPr>
        <w:t>A loan leaves its stage on its first good month-end</w:t>
      </w:r>
      <w:r>
        <w:rPr>
          <w:b w:val="0"/>
          <w:i w:val="0"/>
        </w:rPr>
        <w:t>, with no probation.</w:t>
      </w:r>
    </w:p>
    <w:p>
      <w:pPr>
        <w:spacing w:after="120"/>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pPr>
      <w:r>
        <w:rPr>
          <w:b w:val="0"/>
          <w:i w:val="0"/>
        </w:rPr>
        <w:t>When MAIIC decides to adopt it:</w:t>
      </w:r>
    </w:p>
    <w:p>
      <w:pPr>
        <w:pStyle w:val="ListNumber"/>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pPr>
      <w:r>
        <w:rPr>
          <w:b w:val="0"/>
          <w:i w:val="0"/>
        </w:rPr>
        <w:t>A second person approves it.</w:t>
      </w:r>
    </w:p>
    <w:p>
      <w:pPr>
        <w:pStyle w:val="ListNumber"/>
      </w:pPr>
      <w:r>
        <w:rPr>
          <w:b w:val="0"/>
          <w:i w:val="0"/>
        </w:rPr>
        <w:t>From that month the booked staging follows the new rules. Locked months are never restated. Under IAS 8 the change is a change in accounting estimate, applied prospectively.</w:t>
      </w:r>
    </w:p>
    <w:p>
      <w:pPr>
        <w:pStyle w:val="ListNumber"/>
      </w:pPr>
      <w:r>
        <w:rPr>
          <w:b w:val="0"/>
          <w:i w:val="0"/>
        </w:rPr>
        <w:t>The comparison run for the first month under the new policy is kept as the record of its effect.</w:t>
      </w:r>
    </w:p>
    <w:p>
      <w:pPr>
        <w:pStyle w:val="Heading2"/>
      </w:pPr>
      <w:r>
        <w:t>4. The staging comparison run</w:t>
      </w:r>
    </w:p>
    <w:p>
      <w:pPr>
        <w:spacing w:after="120"/>
      </w:pPr>
      <w:r>
        <w:rPr>
          <w:b w:val="0"/>
          <w:i w:val="0"/>
        </w:rPr>
        <w:t xml:space="preserve">The comparison run answers one question: </w:t>
      </w:r>
      <w:r>
        <w:rPr>
          <w:b w:val="0"/>
          <w:i/>
        </w:rPr>
        <w:t>what would this month's stages and ECL be under another set of rules, and why?</w:t>
      </w:r>
    </w:p>
    <w:p>
      <w:pPr>
        <w:spacing w:after="120"/>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pPr>
      <w:r>
        <w:rPr>
          <w:b/>
          <w:i w:val="0"/>
        </w:rPr>
        <w:t>How the figures are worked out</w:t>
      </w:r>
      <w:r>
        <w:rPr>
          <w:b w:val="0"/>
          <w:i w:val="0"/>
        </w:rPr>
        <w:t xml:space="preserve"> (decided by Edward Mazibuko, 15 October 2026):</w:t>
      </w:r>
    </w:p>
    <w:p>
      <w:pPr>
        <w:pStyle w:val="ListBullet"/>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pPr>
      <w:r>
        <w:rPr>
          <w:b w:val="0"/>
          <w:i w:val="0"/>
        </w:rPr>
        <w:t>The RBM return classifies facilities under the directive's own bands: by term, on the count of days from the oldest overdue instalment. It must not change when the staging policy changes. So:</w:t>
      </w:r>
    </w:p>
    <w:p>
      <w:pPr>
        <w:pStyle w:val="ListBullet"/>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spacing w:after="120"/>
      </w:pPr>
      <w:r>
        <w:rPr>
          <w:b w:val="0"/>
          <w:i w:val="0"/>
        </w:rPr>
        <w:t>As built (section 9, 16 October 2026):</w:t>
      </w:r>
    </w:p>
    <w:p>
      <w:pPr>
        <w:pStyle w:val="ListBullet"/>
      </w:pPr>
      <w:r>
        <w:rPr>
          <w:b/>
          <w:i w:val="0"/>
        </w:rPr>
        <w:t>What is on it.</w:t>
      </w:r>
      <w:r>
        <w:rPr>
          <w:b w:val="0"/>
          <w:i w:val="0"/>
        </w:rPr>
        <w:t xml:space="preserve"> Every item of the eighteen workflows of section 8.6 that waits for a decision or has been decided, and every Governance Centre change people made. A default seeded with the installation, and a staging threshold row seeded with it, have no proposer and no decider and are not decisions, so they are not listed. An item detected but not yet put forward (a restructure candidate, a detected rate move, a schedule not yet generated) is not listed either. An approval under the System Bootstrap label is listed and marked as such.</w:t>
      </w:r>
    </w:p>
    <w:p>
      <w:pPr>
        <w:pStyle w:val="ListBullet"/>
      </w:pPr>
      <w:r>
        <w:rPr>
          <w:b/>
          <w:i w:val="0"/>
        </w:rPr>
        <w:t>Reconciled to the audit log both ways.</w:t>
      </w:r>
      <w:r>
        <w:rPr>
          <w:b w:val="0"/>
          <w:i w:val="0"/>
        </w:rPr>
        <w:t xml:space="preserve"> Every decided item must have at least one entry in the audit log, and every decision entry in the audit log must name an item that exists. Either kind of finding is named on the view, at the end of the exports and in the auditor's pack. On a fresh bootstrap the register reconciles with no finding.</w:t>
      </w:r>
    </w:p>
    <w:p>
      <w:pPr>
        <w:pStyle w:val="ListBullet"/>
      </w:pPr>
      <w:r>
        <w:rPr>
          <w:b/>
          <w:i w:val="0"/>
        </w:rPr>
        <w:t>Linking.</w:t>
      </w:r>
      <w:r>
        <w:rPr>
          <w:b w:val="0"/>
          <w:i w:val="0"/>
        </w:rPr>
        <w:t xml:space="preserve"> A document already in the store is linked to another decision while that decision is pending, with a reason saying which part of it supports the decision. The file is not copied. A link counts as evidence wherever evidence is required, is shown on the decision's page as linked, and is recorded in the audit log. A removed document supports no decision, and a decided item keeps the documents it was decided on.</w:t>
      </w:r>
    </w:p>
    <w:p>
      <w:pPr>
        <w:pStyle w:val="ListBullet"/>
      </w:pPr>
      <w:r>
        <w:rPr>
          <w:b/>
          <w:i w:val="0"/>
        </w:rPr>
        <w:t>Approved before supporting documents were required.</w:t>
      </w:r>
      <w:r>
        <w:rPr>
          <w:b w:val="0"/>
          <w:i w:val="0"/>
        </w:rPr>
        <w:t xml:space="preserve"> The rule requiring documents comes into force on a database when the release that contains it is migrated, and that moment is recorded. A change to a setting that now requires a document, approved without one before that moment, is labelled </w:t>
      </w:r>
      <w:r>
        <w:rPr>
          <w:b w:val="0"/>
          <w:i/>
        </w:rPr>
        <w:t>approved before supporting documents were required</w:t>
      </w:r>
      <w:r>
        <w:rPr>
          <w:b w:val="0"/>
          <w:i w:val="0"/>
        </w:rPr>
        <w:t xml:space="preserve"> on the setting's history, on this view and in its exports, and can be listed on its own with the status filter. It is never shown as an approval that skipped its evidence.</w:t>
      </w:r>
    </w:p>
    <w:p>
      <w:pPr>
        <w:pStyle w:val="Heading3"/>
      </w:pPr>
      <w:r>
        <w:t>8.8 The record of what each month ran on</w:t>
      </w:r>
    </w:p>
    <w:p>
      <w:pPr>
        <w:spacing w:after="120"/>
      </w:pPr>
      <w:r>
        <w:rPr>
          <w:b w:val="0"/>
          <w:i w:val="0"/>
        </w:rPr>
        <w:t>An auditor looking at a month a year later needs to know exactly what that month's figures were computed with: which settings, rules, models, data and code. Today that can only be partly reconstructed:</w:t>
      </w:r>
    </w:p>
    <w:p>
      <w:pPr>
        <w:pStyle w:val="ListBullet"/>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spacing w:after="120"/>
      </w:pPr>
      <w:r>
        <w:rPr>
          <w:b/>
          <w:i w:val="0"/>
        </w:rPr>
        <w:t>Re-performance, as built (section 10b).</w:t>
      </w:r>
      <w:r>
        <w:rPr>
          <w:b w:val="0"/>
          <w:i w:val="0"/>
        </w:rPr>
        <w:t xml:space="preserve"> A run is re-performed only if its snapshot still verifies against its fingerprint. It is done in one of two ways, and each re-performance is recorded with every difference it names:</w:t>
      </w:r>
    </w:p>
    <w:p>
      <w:pPr>
        <w:pStyle w:val="ListBullet"/>
      </w:pPr>
      <w:r>
        <w:rPr>
          <w:b/>
          <w:i w:val="0"/>
        </w:rPr>
        <w:t>In place</w:t>
      </w:r>
      <w:r>
        <w:rPr>
          <w:b w:val="0"/>
          <w:i w:val="0"/>
        </w:rPr>
        <w:t xml:space="preserve"> (from the run's page, or </w:t>
      </w:r>
      <w:r>
        <w:rPr>
          <w:rFonts w:ascii="Consolas" w:hAnsi="Consolas"/>
          <w:b w:val="0"/>
          <w:i w:val="0"/>
          <w:sz w:val="18"/>
        </w:rPr>
        <w:t>run-records:reperform &lt;month&gt;</w:t>
      </w:r>
      <w:r>
        <w:rPr>
          <w:b w:val="0"/>
          <w:i w:val="0"/>
        </w:rPr>
        <w:t xml:space="preserve">): nothing is written but the re-performance's record. Three checks are made. </w:t>
      </w:r>
      <w:r>
        <w:rPr>
          <w:b w:val="0"/>
          <w:i/>
        </w:rPr>
        <w:t>Inputs</w:t>
      </w:r>
      <w:r>
        <w:rPr>
          <w:b w:val="0"/>
          <w:i w:val="0"/>
        </w:rPr>
        <w:t xml:space="preserve">: the inputs fixed to the month (the Governance Centre settings in force at its end, the staging thresholds, the scenario set, the overlays, the forward-looking model and month record, the loan book build) as they stand now, against what the run froze; for a locked month they cannot have moved. </w:t>
      </w:r>
      <w:r>
        <w:rPr>
          <w:b w:val="0"/>
          <w:i/>
        </w:rPr>
        <w:t>Stages</w:t>
      </w:r>
      <w:r>
        <w:rPr>
          <w:b w:val="0"/>
          <w:i w:val="0"/>
        </w:rPr>
        <w:t xml:space="preserve">: every loan staged again under the staging rules the run froze, through the evaluation the staging comparison run uses (section 4), against the stage the run left. </w:t>
      </w:r>
      <w:r>
        <w:rPr>
          <w:b w:val="0"/>
          <w:i/>
        </w:rPr>
        <w:t>Figures</w:t>
      </w:r>
      <w:r>
        <w:rPr>
          <w:b w:val="0"/>
          <w:i w:val="0"/>
        </w:rPr>
        <w:t>: every loan's stage, PD, LGD, EAD, ECL, discounted ECL, EIR interest and closing gross as the month holds them now, against the run's.</w:t>
      </w:r>
    </w:p>
    <w:p>
      <w:pPr>
        <w:pStyle w:val="ListBullet"/>
      </w:pPr>
      <w:r>
        <w:rPr>
          <w:b/>
          <w:i w:val="0"/>
        </w:rPr>
        <w:t>In a workspace</w:t>
      </w:r>
      <w:r>
        <w:rPr>
          <w:b w:val="0"/>
          <w:i w:val="0"/>
        </w:rPr>
        <w:t xml:space="preserve"> (</w:t>
      </w:r>
      <w:r>
        <w:rPr>
          <w:rFonts w:ascii="Consolas" w:hAnsi="Consolas"/>
          <w:b w:val="0"/>
          <w:i w:val="0"/>
          <w:sz w:val="18"/>
        </w:rPr>
        <w:t>run-records:reperform &lt;month&gt; --workspace=&lt;name&gt;_reperform</w:t>
      </w:r>
      <w:r>
        <w:rPr>
          <w:b w:val="0"/>
          <w:i w:val="0"/>
        </w:rPr>
        <w:t xml:space="preserve">, the console only): the database is copied into a throwaway workspace, which must be named </w:t>
      </w:r>
      <w:r>
        <w:rPr>
          <w:rFonts w:ascii="Consolas" w:hAnsi="Consolas"/>
          <w:b w:val="0"/>
          <w:i w:val="0"/>
          <w:sz w:val="18"/>
        </w:rPr>
        <w:t>..._reperform</w:t>
      </w:r>
      <w:r>
        <w:rPr>
          <w:b w:val="0"/>
          <w:i w:val="0"/>
        </w:rPr>
        <w:t xml:space="preserve"> and can never be the database itself. The month is unlocked in the copy only, the month-end job and the revenue recalculation are run there, and every loan's figures in the copy are checked against the run's. The copy is dropped afterwards unless </w:t>
      </w:r>
      <w:r>
        <w:rPr>
          <w:rFonts w:ascii="Consolas" w:hAnsi="Consolas"/>
          <w:b w:val="0"/>
          <w:i w:val="0"/>
          <w:sz w:val="18"/>
        </w:rPr>
        <w:t>--keep</w:t>
      </w:r>
      <w:r>
        <w:rPr>
          <w:b w:val="0"/>
          <w:i w:val="0"/>
        </w:rPr>
        <w:t xml:space="preserve"> is given.</w:t>
      </w:r>
    </w:p>
    <w:p>
      <w:pPr>
        <w:spacing w:after="120"/>
      </w:pPr>
      <w:r>
        <w:rPr>
          <w:b w:val="0"/>
          <w:i w:val="0"/>
        </w:rPr>
        <w:t>Each re-performance is shown on the run's page with its differences, exports to Excel and PDF, and the latest of the run of record is a sheet of the month's auditor's pack.</w:t>
      </w:r>
    </w:p>
    <w:p>
      <w:pPr>
        <w:spacing w:after="120"/>
      </w:pPr>
      <w:r>
        <w:rPr>
          <w:b/>
          <w:i w:val="0"/>
        </w:rPr>
        <w:t>As built (section 10a, 16 October 2026).</w:t>
      </w:r>
    </w:p>
    <w:p>
      <w:pPr>
        <w:pStyle w:val="ListBullet"/>
      </w:pPr>
      <w:r>
        <w:rPr>
          <w:b/>
          <w:i w:val="0"/>
        </w:rPr>
        <w:t>One run per month of the month-end job.</w:t>
      </w:r>
      <w:r>
        <w:rPr>
          <w:b w:val="0"/>
          <w:i w:val="0"/>
        </w:rPr>
        <w:t xml:space="preserve"> </w:t>
      </w:r>
      <w:r>
        <w:rPr>
          <w:rFonts w:ascii="Consolas" w:hAnsi="Consolas"/>
          <w:b w:val="0"/>
          <w:i w:val="0"/>
          <w:sz w:val="18"/>
        </w:rPr>
        <w:t>maiic:task month-end</w:t>
      </w:r>
      <w:r>
        <w:rPr>
          <w:b w:val="0"/>
          <w:i w:val="0"/>
        </w:rPr>
        <w:t xml:space="preserve"> opens the month's run before its first step and finishes it after its last. Every engine records its step in the open run of its month: staging, PD, LGD, the forward-looking route, projection and month record, the ECL (one step for all portfolios), Mega Farm and EIR revenue. An engine run with no run open for its month (from a screen, or a command run by hand) opens a run of its own, of kind </w:t>
      </w:r>
      <w:r>
        <w:rPr>
          <w:b w:val="0"/>
          <w:i/>
        </w:rPr>
        <w:t>screen</w:t>
      </w:r>
      <w:r>
        <w:rPr>
          <w:b w:val="0"/>
          <w:i w:val="0"/>
        </w:rPr>
        <w:t>, which is never the run of record. The bootstrap opens one run per month, labelled as a bootstrap run, around its engine chain.</w:t>
      </w:r>
    </w:p>
    <w:p>
      <w:pPr>
        <w:pStyle w:val="ListBullet"/>
      </w:pPr>
      <w:r>
        <w:rPr>
          <w:b/>
          <w:i w:val="0"/>
        </w:rPr>
        <w:t>At the end of a run.</w:t>
      </w:r>
      <w:r>
        <w:rPr>
          <w:b w:val="0"/>
          <w:i w:val="0"/>
        </w:rPr>
        <w:t xml:space="preserve"> The run number is written on the month's result rows: every loan book row of the month, and the ECL, PD and LGD runs and results, forward-looking records and projections, scenario results, Mega Farm runs and EIR revenue rows that the run wrote. The snapshot of item 1 is frozen with its SHA-256 fingerprint, with the month's headline results beside it (loans, loans by stage, ECL, discounted ECL, EIR interest). The code version is the repository commit, read from the server's </w:t>
      </w:r>
      <w:r>
        <w:rPr>
          <w:rFonts w:ascii="Consolas" w:hAnsi="Consolas"/>
          <w:b w:val="0"/>
          <w:i w:val="0"/>
          <w:sz w:val="18"/>
        </w:rPr>
        <w:t>APP_COMMIT</w:t>
      </w:r>
      <w:r>
        <w:rPr>
          <w:b w:val="0"/>
          <w:i w:val="0"/>
        </w:rPr>
        <w:t xml:space="preserve"> setting where it is set, otherwise from the repository the code runs from.</w:t>
      </w:r>
    </w:p>
    <w:p>
      <w:pPr>
        <w:pStyle w:val="ListBullet"/>
      </w:pPr>
      <w:r>
        <w:rPr>
          <w:b/>
          <w:i w:val="0"/>
        </w:rPr>
        <w:t>Superseded, never deleted.</w:t>
      </w:r>
      <w:r>
        <w:rPr>
          <w:b w:val="0"/>
          <w:i w:val="0"/>
        </w:rPr>
        <w:t xml:space="preserve"> A month-end or bootstrap run that completes marks the month's earlier completed runs as superseded by it, unless one of them is the run of record.</w:t>
      </w:r>
    </w:p>
    <w:p>
      <w:pPr>
        <w:pStyle w:val="ListBullet"/>
      </w:pPr>
      <w:r>
        <w:rPr>
          <w:b/>
          <w:i w:val="0"/>
        </w:rPr>
        <w:t>The lock.</w:t>
      </w:r>
      <w:r>
        <w:rPr>
          <w:b w:val="0"/>
          <w:i w:val="0"/>
        </w:rPr>
        <w:t xml:space="preserve"> </w:t>
      </w:r>
      <w:r>
        <w:rPr>
          <w:rFonts w:ascii="Consolas" w:hAnsi="Consolas"/>
          <w:b w:val="0"/>
          <w:i w:val="0"/>
          <w:sz w:val="18"/>
        </w:rPr>
        <w:t>eir:lock-period</w:t>
      </w:r>
      <w:r>
        <w:rPr>
          <w:b w:val="0"/>
          <w:i w:val="0"/>
        </w:rPr>
        <w:t xml:space="preserve"> names the latest completed month-end or bootstrap run of the month as its run of record, on the lock and on the run. It is refused if there is none, or if an engine run from a screen has changed the month since that run: the month-end job is then run again. A month computed before run records existed is locked with </w:t>
      </w:r>
      <w:r>
        <w:rPr>
          <w:rFonts w:ascii="Consolas" w:hAnsi="Consolas"/>
          <w:b w:val="0"/>
          <w:i w:val="0"/>
          <w:sz w:val="18"/>
        </w:rPr>
        <w:t>--without-run-record</w:t>
      </w:r>
      <w:r>
        <w:rPr>
          <w:b w:val="0"/>
          <w:i w:val="0"/>
        </w:rPr>
        <w:t xml:space="preserve"> and a reason saying so; its lock names no run. On unlock the run stays on record as the run of record until that moment.</w:t>
      </w:r>
    </w:p>
    <w:p>
      <w:pPr>
        <w:pStyle w:val="ListBullet"/>
      </w:pPr>
      <w:r>
        <w:rPr>
          <w:b/>
          <w:i w:val="0"/>
        </w:rPr>
        <w:t>Each loan as the run left it.</w:t>
      </w:r>
      <w:r>
        <w:rPr>
          <w:b w:val="0"/>
          <w:i w:val="0"/>
        </w:rPr>
        <w:t xml:space="preserve"> At the end of a run each loan's stage, PD, LGD, EAD, ECL, discounted ECL, EIR interest and closing gross carrying amount of the month are kept with the run, for re-performance.</w:t>
      </w:r>
    </w:p>
    <w:p>
      <w:pPr>
        <w:pStyle w:val="ListBullet"/>
      </w:pPr>
      <w:r>
        <w:rPr>
          <w:b/>
          <w:i w:val="0"/>
        </w:rPr>
        <w:t>The reports.</w:t>
      </w:r>
      <w:r>
        <w:rPr>
          <w:b w:val="0"/>
          <w:i w:val="0"/>
        </w:rPr>
        <w:t xml:space="preserve"> Governance, Audit, </w:t>
      </w:r>
      <w:r>
        <w:rPr>
          <w:b w:val="0"/>
          <w:i/>
        </w:rPr>
        <w:t>Run records</w:t>
      </w:r>
      <w:r>
        <w:rPr>
          <w:b w:val="0"/>
          <w:i w:val="0"/>
        </w:rPr>
        <w:t xml:space="preserve"> lists every run with its kind, status, code version, fingerprint and steps. A run's page shows its snapshot section by section, checks its fingerprint (</w:t>
      </w:r>
      <w:r>
        <w:rPr>
          <w:b w:val="0"/>
          <w:i/>
        </w:rPr>
        <w:t>Verifies</w:t>
      </w:r>
      <w:r>
        <w:rPr>
          <w:b w:val="0"/>
          <w:i w:val="0"/>
        </w:rPr>
        <w:t xml:space="preserve"> or </w:t>
      </w:r>
      <w:r>
        <w:rPr>
          <w:b w:val="0"/>
          <w:i/>
        </w:rPr>
        <w:t>Does not verify</w:t>
      </w:r>
      <w:r>
        <w:rPr>
          <w:b w:val="0"/>
          <w:i w:val="0"/>
        </w:rPr>
        <w:t xml:space="preserve">), and shows its steps, results and how many rows carry its number. </w:t>
      </w:r>
      <w:r>
        <w:rPr>
          <w:b w:val="0"/>
          <w:i/>
        </w:rPr>
        <w:t>Settings in force</w:t>
      </w:r>
      <w:r>
        <w:rPr>
          <w:b w:val="0"/>
          <w:i w:val="0"/>
        </w:rPr>
        <w:t xml:space="preserve"> for a month and </w:t>
      </w:r>
      <w:r>
        <w:rPr>
          <w:b w:val="0"/>
          <w:i/>
        </w:rPr>
        <w:t>What changed</w:t>
      </w:r>
      <w:r>
        <w:rPr>
          <w:b w:val="0"/>
          <w:i w:val="0"/>
        </w:rPr>
        <w:t xml:space="preserve"> between two months, both in Excel and PDF, read the month's run of record while it is locked, otherwise its latest completed month-end or bootstrap run. Both are sheets of the month's auditor's pack, </w:t>
      </w:r>
      <w:r>
        <w:rPr>
          <w:b w:val="0"/>
          <w:i/>
        </w:rPr>
        <w:t>What changed</w:t>
      </w:r>
      <w:r>
        <w:rPr>
          <w:b w:val="0"/>
          <w:i w:val="0"/>
        </w:rPr>
        <w:t xml:space="preserve"> against the month before.</w:t>
      </w:r>
    </w:p>
    <w:p>
      <w:pPr>
        <w:pStyle w:val="Heading3"/>
      </w:pPr>
      <w:r>
        <w:t>8.9 UAT mode: maker-checker relaxed for administrators, safely</w:t>
      </w:r>
    </w:p>
    <w:p>
      <w:pPr>
        <w:spacing w:after="120"/>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3"/>
      </w:pPr>
      <w:r>
        <w:t>8.10 Decisions carried into a fresh database (the decisions pack)</w:t>
      </w:r>
    </w:p>
    <w:p>
      <w:pPr>
        <w:spacing w:after="120"/>
      </w:pPr>
      <w:r>
        <w:rPr>
          <w:b/>
          <w:i w:val="0"/>
        </w:rPr>
        <w:t>Why.</w:t>
      </w:r>
      <w:r>
        <w:rPr>
          <w:b w:val="0"/>
          <w:i w:val="0"/>
        </w:rPr>
        <w:t xml:space="preserve"> The bootstrap rebuilds a database from files: the E-Banker packs, the take-on workbook, the trial balances and the models. It cannot rebuild what people decided in the system, because those decisions are in no file. By 15 October 2026 MAIIC's database held decisions of that kind: 277 fee lines reviewed under maker-checker, 113 EIRs locked by Edward, Finance's 2025 fee workbook and its integral-column re-import, the fee source precedence set to Finance first (proposal 68), the correction of loans 077 and 110 (6 fee lines moved, loan 110 reopened and both EIRs locked again), and the user accounts. A fresh bootstrap would lose all of them. The decisions pack carries them.</w:t>
      </w:r>
    </w:p>
    <w:p>
      <w:pPr>
        <w:spacing w:after="120"/>
      </w:pPr>
      <w:r>
        <w:rPr>
          <w:b/>
          <w:i w:val="0"/>
        </w:rPr>
        <w:t>What it is.</w:t>
      </w:r>
      <w:r>
        <w:rPr>
          <w:b w:val="0"/>
          <w:i w:val="0"/>
        </w:rPr>
        <w:t xml:space="preserve"> A folder, </w:t>
      </w:r>
      <w:r>
        <w:rPr>
          <w:rFonts w:ascii="Consolas" w:hAnsi="Consolas"/>
          <w:b w:val="0"/>
          <w:i w:val="0"/>
          <w:sz w:val="18"/>
        </w:rPr>
        <w:t>docs/bootstrap/decisions/&lt;date&gt;/</w:t>
      </w:r>
      <w:r>
        <w:rPr>
          <w:b w:val="0"/>
          <w:i w:val="0"/>
        </w:rPr>
        <w:t>, committed beside the E-Banker packs. It holds one file per kind of decision and a manifest with each file's SHA-256 and a tie-out of what the source database held. Finance's fee workbook is carried as the lines it loaded, as they now stand: the system does not keep an uploaded workbook once it is loaded. A pack changed after export is refused. It is written by an export from one database and replayed into a fresh one by the bootstrap.</w:t>
      </w:r>
    </w:p>
    <w:p>
      <w:pPr>
        <w:spacing w:after="120"/>
      </w:pPr>
      <w:r>
        <w:rPr>
          <w:b/>
          <w:i w:val="0"/>
        </w:rPr>
        <w:t>Export.</w:t>
      </w:r>
      <w:r>
        <w:rPr>
          <w:b w:val="0"/>
          <w:i w:val="0"/>
        </w:rPr>
        <w:t xml:space="preserve"> </w:t>
      </w:r>
      <w:r>
        <w:rPr>
          <w:rFonts w:ascii="Consolas" w:hAnsi="Consolas"/>
          <w:b w:val="0"/>
          <w:i w:val="0"/>
          <w:sz w:val="18"/>
        </w:rPr>
        <w:t>decisions:export</w:t>
      </w:r>
      <w:r>
        <w:rPr>
          <w:b w:val="0"/>
          <w:i w:val="0"/>
        </w:rPr>
        <w:t xml:space="preserve"> reads a database and writes the pack. It writes nothing to the database it reads. It is run on MAIIC's server by MAIIC ICT or Edward, never by Dupleix on MAIIC's database, once the server has the release that contains it (phase 3a). Every row is named by its business key, never by a database id, because a fresh load numbers its rows differently: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Business key</w:t>
            </w:r>
          </w:p>
        </w:tc>
        <w:tc>
          <w:tcPr>
            <w:tcW w:type="dxa" w:w="3324"/>
            <w:shd w:val="clear" w:color="auto" w:fill="1B2A41"/>
          </w:tcPr>
          <w:p>
            <w:r>
              <w:rPr>
                <w:b/>
                <w:color w:val="FFFFFF"/>
                <w:sz w:val="17"/>
              </w:rPr>
            </w:r>
            <w:r>
              <w:rPr>
                <w:b/>
                <w:i w:val="0"/>
                <w:color w:val="FFFFFF"/>
                <w:sz w:val="17"/>
              </w:rPr>
              <w:t>What is carried</w:t>
            </w:r>
          </w:p>
        </w:tc>
      </w:tr>
      <w:tr>
        <w:tc>
          <w:tcPr>
            <w:tcW w:type="dxa" w:w="3324"/>
          </w:tcPr>
          <w:p>
            <w:r>
              <w:rPr>
                <w:b w:val="0"/>
                <w:sz w:val="17"/>
              </w:rPr>
            </w:r>
            <w:r>
              <w:rPr>
                <w:b w:val="0"/>
                <w:i w:val="0"/>
                <w:sz w:val="17"/>
              </w:rPr>
              <w:t>Fee line classified and reviewed</w:t>
            </w:r>
          </w:p>
        </w:tc>
        <w:tc>
          <w:tcPr>
            <w:tcW w:type="dxa" w:w="3324"/>
          </w:tcPr>
          <w:p>
            <w:r>
              <w:rPr>
                <w:b w:val="0"/>
                <w:sz w:val="17"/>
              </w:rPr>
            </w:r>
            <w:r>
              <w:rPr>
                <w:b w:val="0"/>
                <w:i w:val="0"/>
                <w:sz w:val="17"/>
              </w:rPr>
              <w:t>The line's source system and source transaction id; for a Finance workbook line without them, loan, fee type, amount, date and description</w:t>
            </w:r>
          </w:p>
        </w:tc>
        <w:tc>
          <w:tcPr>
            <w:tcW w:type="dxa" w:w="3324"/>
          </w:tcPr>
          <w:p>
            <w:r>
              <w:rPr>
                <w:b w:val="0"/>
                <w:sz w:val="17"/>
              </w:rPr>
            </w:r>
            <w:r>
              <w:rPr>
                <w:b w:val="0"/>
                <w:i w:val="0"/>
                <w:sz w:val="17"/>
              </w:rPr>
              <w:t>Integral or not, the cash-flow direction, the reason, the rule applied, who classified it and when, who reviewed it and when</w:t>
            </w:r>
          </w:p>
        </w:tc>
      </w:tr>
      <w:tr>
        <w:tc>
          <w:tcPr>
            <w:tcW w:type="dxa" w:w="3324"/>
          </w:tcPr>
          <w:p>
            <w:r>
              <w:rPr>
                <w:b w:val="0"/>
                <w:sz w:val="17"/>
              </w:rPr>
            </w:r>
            <w:r>
              <w:rPr>
                <w:b w:val="0"/>
                <w:i w:val="0"/>
                <w:sz w:val="17"/>
              </w:rPr>
              <w:t>Fee line moved to another loan</w:t>
            </w:r>
          </w:p>
        </w:tc>
        <w:tc>
          <w:tcPr>
            <w:tcW w:type="dxa" w:w="3324"/>
          </w:tcPr>
          <w:p>
            <w:r>
              <w:rPr>
                <w:b w:val="0"/>
                <w:sz w:val="17"/>
              </w:rPr>
            </w:r>
            <w:r>
              <w:rPr>
                <w:b w:val="0"/>
                <w:i w:val="0"/>
                <w:sz w:val="17"/>
              </w:rPr>
              <w:t>The line's key and its original loan and date</w:t>
            </w:r>
          </w:p>
        </w:tc>
        <w:tc>
          <w:tcPr>
            <w:tcW w:type="dxa" w:w="3324"/>
          </w:tcPr>
          <w:p>
            <w:r>
              <w:rPr>
                <w:b w:val="0"/>
                <w:sz w:val="17"/>
              </w:rPr>
            </w:r>
            <w:r>
              <w:rPr>
                <w:b w:val="0"/>
                <w:i w:val="0"/>
                <w:sz w:val="17"/>
              </w:rPr>
              <w:t>The new loan, the new date, the reason, who moved it and when</w:t>
            </w:r>
          </w:p>
        </w:tc>
      </w:tr>
      <w:tr>
        <w:tc>
          <w:tcPr>
            <w:tcW w:type="dxa" w:w="3324"/>
          </w:tcPr>
          <w:p>
            <w:r>
              <w:rPr>
                <w:b w:val="0"/>
                <w:sz w:val="17"/>
              </w:rPr>
            </w:r>
            <w:r>
              <w:rPr>
                <w:b w:val="0"/>
                <w:i w:val="0"/>
                <w:sz w:val="17"/>
              </w:rPr>
              <w:t>Overlapping fee lines kept separate or treated as one</w:t>
            </w:r>
          </w:p>
        </w:tc>
        <w:tc>
          <w:tcPr>
            <w:tcW w:type="dxa" w:w="3324"/>
          </w:tcPr>
          <w:p>
            <w:r>
              <w:rPr>
                <w:b w:val="0"/>
                <w:sz w:val="17"/>
              </w:rPr>
            </w:r>
            <w:r>
              <w:rPr>
                <w:b w:val="0"/>
                <w:i w:val="0"/>
                <w:sz w:val="17"/>
              </w:rPr>
              <w:t>Both lines' keys</w:t>
            </w:r>
          </w:p>
        </w:tc>
        <w:tc>
          <w:tcPr>
            <w:tcW w:type="dxa" w:w="3324"/>
          </w:tcPr>
          <w:p>
            <w:r>
              <w:rPr>
                <w:b w:val="0"/>
                <w:sz w:val="17"/>
              </w:rPr>
            </w:r>
            <w:r>
              <w:rPr>
                <w:b w:val="0"/>
                <w:i w:val="0"/>
                <w:sz w:val="17"/>
              </w:rPr>
              <w:t>The decision, the reason, who decided</w:t>
            </w:r>
          </w:p>
        </w:tc>
      </w:tr>
      <w:tr>
        <w:tc>
          <w:tcPr>
            <w:tcW w:type="dxa" w:w="3324"/>
          </w:tcPr>
          <w:p>
            <w:r>
              <w:rPr>
                <w:b w:val="0"/>
                <w:sz w:val="17"/>
              </w:rPr>
            </w:r>
            <w:r>
              <w:rPr>
                <w:b w:val="0"/>
                <w:i w:val="0"/>
                <w:sz w:val="17"/>
              </w:rPr>
              <w:t>Held GL fee tied to a loan, or dismissed</w:t>
            </w:r>
          </w:p>
        </w:tc>
        <w:tc>
          <w:tcPr>
            <w:tcW w:type="dxa" w:w="3324"/>
          </w:tcPr>
          <w:p>
            <w:r>
              <w:rPr>
                <w:b w:val="0"/>
                <w:sz w:val="17"/>
              </w:rPr>
            </w:r>
            <w:r>
              <w:rPr>
                <w:b w:val="0"/>
                <w:i w:val="0"/>
                <w:sz w:val="17"/>
              </w:rPr>
              <w:t>The GL posting's voucher and the loan</w:t>
            </w:r>
          </w:p>
        </w:tc>
        <w:tc>
          <w:tcPr>
            <w:tcW w:type="dxa" w:w="3324"/>
          </w:tcPr>
          <w:p>
            <w:r>
              <w:rPr>
                <w:b w:val="0"/>
                <w:sz w:val="17"/>
              </w:rPr>
            </w:r>
            <w:r>
              <w:rPr>
                <w:b w:val="0"/>
                <w:i w:val="0"/>
                <w:sz w:val="17"/>
              </w:rPr>
              <w:t>Who tied or dismissed it, the reason</w:t>
            </w:r>
          </w:p>
        </w:tc>
      </w:tr>
      <w:tr>
        <w:tc>
          <w:tcPr>
            <w:tcW w:type="dxa" w:w="3324"/>
          </w:tcPr>
          <w:p>
            <w:r>
              <w:rPr>
                <w:b w:val="0"/>
                <w:sz w:val="17"/>
              </w:rPr>
            </w:r>
            <w:r>
              <w:rPr>
                <w:b w:val="0"/>
                <w:i w:val="0"/>
                <w:sz w:val="17"/>
              </w:rPr>
              <w:t>Finance fee workbook loaded</w:t>
            </w:r>
          </w:p>
        </w:tc>
        <w:tc>
          <w:tcPr>
            <w:tcW w:type="dxa" w:w="3324"/>
          </w:tcPr>
          <w:p>
            <w:r>
              <w:rPr>
                <w:b w:val="0"/>
                <w:sz w:val="17"/>
              </w:rPr>
            </w:r>
            <w:r>
              <w:rPr>
                <w:b w:val="0"/>
                <w:i w:val="0"/>
                <w:sz w:val="17"/>
              </w:rPr>
              <w:t>Each line's key, as for a fee line</w:t>
            </w:r>
          </w:p>
        </w:tc>
        <w:tc>
          <w:tcPr>
            <w:tcW w:type="dxa" w:w="3324"/>
          </w:tcPr>
          <w:p>
            <w:r>
              <w:rPr>
                <w:b w:val="0"/>
                <w:sz w:val="17"/>
              </w:rPr>
            </w:r>
            <w:r>
              <w:rPr>
                <w:b w:val="0"/>
                <w:i w:val="0"/>
                <w:sz w:val="17"/>
              </w:rPr>
              <w:t>Every line it loaded, as it now stands, and the months it covers</w:t>
            </w:r>
          </w:p>
        </w:tc>
      </w:tr>
      <w:tr>
        <w:tc>
          <w:tcPr>
            <w:tcW w:type="dxa" w:w="3324"/>
          </w:tcPr>
          <w:p>
            <w:r>
              <w:rPr>
                <w:b w:val="0"/>
                <w:sz w:val="17"/>
              </w:rPr>
            </w:r>
            <w:r>
              <w:rPr>
                <w:b w:val="0"/>
                <w:i w:val="0"/>
                <w:sz w:val="17"/>
              </w:rPr>
              <w:t>Governance setting approved by people</w:t>
            </w:r>
          </w:p>
        </w:tc>
        <w:tc>
          <w:tcPr>
            <w:tcW w:type="dxa" w:w="3324"/>
          </w:tcPr>
          <w:p>
            <w:r>
              <w:rPr>
                <w:b w:val="0"/>
                <w:sz w:val="17"/>
              </w:rPr>
            </w:r>
            <w:r>
              <w:rPr>
                <w:b w:val="0"/>
                <w:i w:val="0"/>
                <w:sz w:val="17"/>
              </w:rPr>
              <w:t>Key, value and effective date</w:t>
            </w:r>
          </w:p>
        </w:tc>
        <w:tc>
          <w:tcPr>
            <w:tcW w:type="dxa" w:w="3324"/>
          </w:tcPr>
          <w:p>
            <w:r>
              <w:rPr>
                <w:b w:val="0"/>
                <w:sz w:val="17"/>
              </w:rPr>
            </w:r>
            <w:r>
              <w:rPr>
                <w:b w:val="0"/>
                <w:i w:val="0"/>
                <w:sz w:val="17"/>
              </w:rPr>
              <w:t>Who proposed it, who approved it, when, and the reason. The UAT mode setting is the server's own (section 8.9) and is not carried</w:t>
            </w:r>
          </w:p>
        </w:tc>
      </w:tr>
      <w:tr>
        <w:tc>
          <w:tcPr>
            <w:tcW w:type="dxa" w:w="3324"/>
          </w:tcPr>
          <w:p>
            <w:r>
              <w:rPr>
                <w:b w:val="0"/>
                <w:sz w:val="17"/>
              </w:rPr>
            </w:r>
            <w:r>
              <w:rPr>
                <w:b w:val="0"/>
                <w:i w:val="0"/>
                <w:sz w:val="17"/>
              </w:rPr>
              <w:t>Fee rule approved by people</w:t>
            </w:r>
          </w:p>
        </w:tc>
        <w:tc>
          <w:tcPr>
            <w:tcW w:type="dxa" w:w="3324"/>
          </w:tcPr>
          <w:p>
            <w:r>
              <w:rPr>
                <w:b w:val="0"/>
                <w:sz w:val="17"/>
              </w:rPr>
            </w:r>
            <w:r>
              <w:rPr>
                <w:b w:val="0"/>
                <w:i w:val="0"/>
                <w:sz w:val="17"/>
              </w:rPr>
              <w:t>The rule's name and wording</w:t>
            </w:r>
          </w:p>
        </w:tc>
        <w:tc>
          <w:tcPr>
            <w:tcW w:type="dxa" w:w="3324"/>
          </w:tcPr>
          <w:p>
            <w:r>
              <w:rPr>
                <w:b w:val="0"/>
                <w:sz w:val="17"/>
              </w:rPr>
            </w:r>
            <w:r>
              <w:rPr>
                <w:b w:val="0"/>
                <w:i w:val="0"/>
                <w:sz w:val="17"/>
              </w:rPr>
              <w:t>Who wrote it, who approved it, the reason</w:t>
            </w:r>
          </w:p>
        </w:tc>
      </w:tr>
      <w:tr>
        <w:tc>
          <w:tcPr>
            <w:tcW w:type="dxa" w:w="3324"/>
          </w:tcPr>
          <w:p>
            <w:r>
              <w:rPr>
                <w:b w:val="0"/>
                <w:sz w:val="17"/>
              </w:rPr>
            </w:r>
            <w:r>
              <w:rPr>
                <w:b w:val="0"/>
                <w:i w:val="0"/>
                <w:sz w:val="17"/>
              </w:rPr>
              <w:t>EIR locked by a person</w:t>
            </w:r>
          </w:p>
        </w:tc>
        <w:tc>
          <w:tcPr>
            <w:tcW w:type="dxa" w:w="3324"/>
          </w:tcPr>
          <w:p>
            <w:r>
              <w:rPr>
                <w:b w:val="0"/>
                <w:sz w:val="17"/>
              </w:rPr>
            </w:r>
            <w:r>
              <w:rPr>
                <w:b w:val="0"/>
                <w:i w:val="0"/>
                <w:sz w:val="17"/>
              </w:rPr>
              <w:t>The loan</w:t>
            </w:r>
          </w:p>
        </w:tc>
        <w:tc>
          <w:tcPr>
            <w:tcW w:type="dxa" w:w="3324"/>
          </w:tcPr>
          <w:p>
            <w:r>
              <w:rPr>
                <w:b w:val="0"/>
                <w:sz w:val="17"/>
              </w:rPr>
            </w:r>
            <w:r>
              <w:rPr>
                <w:b w:val="0"/>
                <w:i w:val="0"/>
                <w:sz w:val="17"/>
              </w:rPr>
              <w:t>Who calculated it, who locked it, when, the locked rate and a fingerprint of the cash flows it was solved on</w:t>
            </w:r>
          </w:p>
        </w:tc>
      </w:tr>
      <w:tr>
        <w:tc>
          <w:tcPr>
            <w:tcW w:type="dxa" w:w="3324"/>
          </w:tcPr>
          <w:p>
            <w:r>
              <w:rPr>
                <w:b w:val="0"/>
                <w:sz w:val="17"/>
              </w:rPr>
            </w:r>
            <w:r>
              <w:rPr>
                <w:b w:val="0"/>
                <w:i w:val="0"/>
                <w:sz w:val="17"/>
              </w:rPr>
              <w:t>EIR reopen request</w:t>
            </w:r>
          </w:p>
        </w:tc>
        <w:tc>
          <w:tcPr>
            <w:tcW w:type="dxa" w:w="3324"/>
          </w:tcPr>
          <w:p>
            <w:r>
              <w:rPr>
                <w:b w:val="0"/>
                <w:sz w:val="17"/>
              </w:rPr>
            </w:r>
            <w:r>
              <w:rPr>
                <w:b w:val="0"/>
                <w:i w:val="0"/>
                <w:sz w:val="17"/>
              </w:rPr>
              <w:t>The loan and the request date</w:t>
            </w:r>
          </w:p>
        </w:tc>
        <w:tc>
          <w:tcPr>
            <w:tcW w:type="dxa" w:w="3324"/>
          </w:tcPr>
          <w:p>
            <w:r>
              <w:rPr>
                <w:b w:val="0"/>
                <w:sz w:val="17"/>
              </w:rPr>
            </w:r>
            <w:r>
              <w:rPr>
                <w:b w:val="0"/>
                <w:i w:val="0"/>
                <w:sz w:val="17"/>
              </w:rPr>
              <w:t>The request and its decision, carried as history</w:t>
            </w:r>
          </w:p>
        </w:tc>
      </w:tr>
      <w:tr>
        <w:tc>
          <w:tcPr>
            <w:tcW w:type="dxa" w:w="3324"/>
          </w:tcPr>
          <w:p>
            <w:r>
              <w:rPr>
                <w:b w:val="0"/>
                <w:sz w:val="17"/>
              </w:rPr>
            </w:r>
            <w:r>
              <w:rPr>
                <w:b w:val="0"/>
                <w:i w:val="0"/>
                <w:sz w:val="17"/>
              </w:rPr>
              <w:t>User</w:t>
            </w:r>
          </w:p>
        </w:tc>
        <w:tc>
          <w:tcPr>
            <w:tcW w:type="dxa" w:w="3324"/>
          </w:tcPr>
          <w:p>
            <w:r>
              <w:rPr>
                <w:b w:val="0"/>
                <w:sz w:val="17"/>
              </w:rPr>
            </w:r>
            <w:r>
              <w:rPr>
                <w:b w:val="0"/>
                <w:i w:val="0"/>
                <w:sz w:val="17"/>
              </w:rPr>
              <w:t>E-mail</w:t>
            </w:r>
          </w:p>
        </w:tc>
        <w:tc>
          <w:tcPr>
            <w:tcW w:type="dxa" w:w="3324"/>
          </w:tcPr>
          <w:p>
            <w:r>
              <w:rPr>
                <w:b w:val="0"/>
                <w:sz w:val="17"/>
              </w:rPr>
            </w:r>
            <w:r>
              <w:rPr>
                <w:b w:val="0"/>
                <w:i w:val="0"/>
                <w:sz w:val="17"/>
              </w:rPr>
              <w:t>Name, roles and direct permissions; never the password or the two-factor secret</w:t>
            </w:r>
          </w:p>
        </w:tc>
      </w:tr>
      <w:tr>
        <w:tc>
          <w:tcPr>
            <w:tcW w:type="dxa" w:w="3324"/>
          </w:tcPr>
          <w:p>
            <w:r>
              <w:rPr>
                <w:b w:val="0"/>
                <w:sz w:val="17"/>
              </w:rPr>
            </w:r>
            <w:r>
              <w:rPr>
                <w:b w:val="0"/>
                <w:i w:val="0"/>
                <w:sz w:val="17"/>
              </w:rPr>
              <w:t>Supporting document</w:t>
            </w:r>
          </w:p>
        </w:tc>
        <w:tc>
          <w:tcPr>
            <w:tcW w:type="dxa" w:w="3324"/>
          </w:tcPr>
          <w:p>
            <w:r>
              <w:rPr>
                <w:b w:val="0"/>
                <w:sz w:val="17"/>
              </w:rPr>
            </w:r>
            <w:r>
              <w:rPr>
                <w:b w:val="0"/>
                <w:i w:val="0"/>
                <w:sz w:val="17"/>
              </w:rPr>
              <w:t>Its SHA-256</w:t>
            </w:r>
          </w:p>
        </w:tc>
        <w:tc>
          <w:tcPr>
            <w:tcW w:type="dxa" w:w="3324"/>
          </w:tcPr>
          <w:p>
            <w:r>
              <w:rPr>
                <w:b w:val="0"/>
                <w:sz w:val="17"/>
              </w:rPr>
            </w:r>
            <w:r>
              <w:rPr>
                <w:b w:val="0"/>
                <w:i w:val="0"/>
                <w:sz w:val="17"/>
              </w:rPr>
              <w:t>The file itself, with its name, type, description, who uploaded it and when, and every carried decision it supports, attached or linked</w:t>
            </w:r>
          </w:p>
        </w:tc>
      </w:tr>
    </w:tbl>
    <w:p/>
    <w:p>
      <w:pPr>
        <w:spacing w:after="120"/>
      </w:pPr>
      <w:r>
        <w:rPr>
          <w:b w:val="0"/>
          <w:i w:val="0"/>
        </w:rPr>
        <w:t>Every person is carried by e-mail and matched to the user of the same e-mail in the fresh database.</w:t>
      </w:r>
    </w:p>
    <w:p>
      <w:pPr>
        <w:spacing w:after="120"/>
      </w:pPr>
      <w:r>
        <w:rPr>
          <w:b/>
          <w:i w:val="0"/>
        </w:rPr>
        <w:t>Replay.</w:t>
      </w:r>
      <w:r>
        <w:rPr>
          <w:b w:val="0"/>
          <w:i w:val="0"/>
        </w:rPr>
        <w:t xml:space="preserve"> </w:t>
      </w:r>
      <w:r>
        <w:rPr>
          <w:rFonts w:ascii="Consolas" w:hAnsi="Consolas"/>
          <w:b w:val="0"/>
          <w:i w:val="0"/>
          <w:sz w:val="18"/>
        </w:rPr>
        <w:t>eir:bootstrap --with-decisions=&lt;date&gt;</w:t>
      </w:r>
      <w:r>
        <w:rPr>
          <w:b w:val="0"/>
          <w:i w:val="0"/>
        </w:rPr>
        <w:t xml:space="preserve"> replays the pack in two places:</w:t>
      </w:r>
    </w:p>
    <w:p>
      <w:pPr>
        <w:pStyle w:val="ListNumber"/>
      </w:pPr>
      <w:r>
        <w:rPr>
          <w:b/>
          <w:i w:val="0"/>
        </w:rPr>
        <w:t>After the fee build, before the schedules are approved:</w:t>
      </w:r>
      <w:r>
        <w:rPr>
          <w:b w:val="0"/>
          <w:i w:val="0"/>
        </w:rPr>
        <w:t xml:space="preserve"> the users; the governance settings; the fee rules; Finance's workbook, loaded through the normal import with its tie-out; the overlap decisions, held-fee ties and dismissals; the fee moves; then the classifications and reviews. The fee source precedence is then applied once to the result.</w:t>
      </w:r>
    </w:p>
    <w:p>
      <w:pPr>
        <w:pStyle w:val="ListNumber"/>
      </w:pPr>
      <w:r>
        <w:rPr>
          <w:b/>
          <w:i w:val="0"/>
        </w:rPr>
        <w:t>In place of the bootstrap's own lock, for the loans the pack names:</w:t>
      </w:r>
      <w:r>
        <w:rPr>
          <w:b w:val="0"/>
          <w:i w:val="0"/>
        </w:rPr>
        <w:t xml:space="preserve"> the EIR is calculated and locked under the person who locked it in the source database, but only if the rate and the cash-flow fingerprint come out the same. Every other loan is locked under the System Bootstrap label as today.</w:t>
      </w:r>
    </w:p>
    <w:p>
      <w:pPr>
        <w:spacing w:after="120"/>
      </w:pPr>
      <w:r>
        <w:rPr>
          <w:b w:val="0"/>
          <w:i w:val="0"/>
        </w:rPr>
        <w:t>A reopen request is not executed again. In the source database it reopened an EIR so that fee lines could be moved. In the replay the lines are moved before any EIR is locked, so the request is carried as history on the loan.</w:t>
      </w:r>
    </w:p>
    <w:p>
      <w:pPr>
        <w:spacing w:after="120"/>
      </w:pPr>
      <w:r>
        <w:rPr>
          <w:b/>
          <w:i w:val="0"/>
        </w:rPr>
        <w:t>Documents and the evidence rule.</w:t>
      </w:r>
      <w:r>
        <w:rPr>
          <w:b w:val="0"/>
          <w:i w:val="0"/>
        </w:rPr>
        <w:t xml:space="preserve"> The pack carries the supporting documents behind the decisions it carries, each file under its SHA-256, and the moment the supporting-document rule came into force on the source (section 8.7), or that it had not yet come into force there. On replay a document is stored once and attached to the first decision it supports; a further decision it supports gets a link, as on the source. A change to a setting that requires a document is replayed with its documents. If the pack carries none, the change is carried only if the source approved it before the rule came into force there; it is then labelled </w:t>
      </w:r>
      <w:r>
        <w:rPr>
          <w:b w:val="0"/>
          <w:i/>
        </w:rPr>
        <w:t>approved before supporting documents were required</w:t>
      </w:r>
      <w:r>
        <w:rPr>
          <w:b w:val="0"/>
          <w:i w:val="0"/>
        </w:rPr>
        <w:t xml:space="preserve"> and counted apart on the replay report and in the tie-out. If the source approved it after that moment, it is refused and listed, and no proposal is left behind.</w:t>
      </w:r>
    </w:p>
    <w:p>
      <w:pPr>
        <w:spacing w:after="120"/>
      </w:pPr>
      <w:r>
        <w:rPr>
          <w:b/>
          <w:i w:val="0"/>
        </w:rPr>
        <w:t>Labelled as carried, never as new.</w:t>
      </w:r>
      <w:r>
        <w:rPr>
          <w:b w:val="0"/>
          <w:i w:val="0"/>
        </w:rPr>
        <w:t xml:space="preserve"> Each replayed decision keeps its original person and date on the record. Each writes one audit entry, </w:t>
      </w:r>
      <w:r>
        <w:rPr>
          <w:b w:val="0"/>
          <w:i/>
        </w:rPr>
        <w:t>"Carried from &lt;database&gt; by the decisions pack of &lt;date&gt;"</w:t>
      </w:r>
      <w:r>
        <w:rPr>
          <w:b w:val="0"/>
          <w:i w:val="0"/>
        </w:rPr>
        <w:t>, naming the original person and date. It never carries the System Bootstrap label, because it was a person's decision and not an automated one. A decision the source database recorded as a UAT self-approval is carried with that label, and section 8.9 item 7 still applies to it.</w:t>
      </w:r>
    </w:p>
    <w:p>
      <w:pPr>
        <w:spacing w:after="120"/>
      </w:pPr>
      <w:r>
        <w:rPr>
          <w:b/>
          <w:i w:val="0"/>
        </w:rPr>
        <w:t>What does not match is listed, never forced.</w:t>
      </w:r>
      <w:r>
        <w:rPr>
          <w:b w:val="0"/>
          <w:i w:val="0"/>
        </w:rPr>
        <w:t xml:space="preserve"> A decision whose row is not found in the fresh database, or whose row differs, is not applied and goes on the replay report with the reason. For example: a fee line the new code builds differently, a workbook whose tie-out fails, or an EIR whose rate or cash flows differ. The line stays pending, or the EIR stays calculated and unlocked, for a person to decide again. The report is written to the bootstrap output and to </w:t>
      </w:r>
      <w:r>
        <w:rPr>
          <w:rFonts w:ascii="Consolas" w:hAnsi="Consolas"/>
          <w:b w:val="0"/>
          <w:i w:val="0"/>
          <w:sz w:val="18"/>
        </w:rPr>
        <w:t>storage/app/decisions/replay-&lt;date&gt;.csv</w:t>
      </w:r>
      <w:r>
        <w:rPr>
          <w:b w:val="0"/>
          <w:i w:val="0"/>
        </w:rPr>
        <w:t>.</w:t>
      </w:r>
    </w:p>
    <w:p>
      <w:pPr>
        <w:spacing w:after="120"/>
      </w:pPr>
      <w:r>
        <w:rPr>
          <w:b/>
          <w:i w:val="0"/>
        </w:rPr>
        <w:t>Not carried, because the engines recompute them:</w:t>
      </w:r>
      <w:r>
        <w:rPr>
          <w:b w:val="0"/>
          <w:i w:val="0"/>
        </w:rPr>
        <w:t xml:space="preserve"> the stages, the Stage 3 history, the ECL, the revenue, the amortisation and every other figure derived from the data and the decisions.</w:t>
      </w:r>
    </w:p>
    <w:p>
      <w:pPr>
        <w:spacing w:after="120"/>
      </w:pPr>
      <w:r>
        <w:rPr>
          <w:b/>
          <w:i w:val="0"/>
        </w:rPr>
        <w:t>The checks.</w:t>
      </w:r>
      <w:r>
        <w:rPr>
          <w:b w:val="0"/>
          <w:i w:val="0"/>
        </w:rPr>
        <w:t xml:space="preserve"> The bootstrap without </w:t>
      </w:r>
      <w:r>
        <w:rPr>
          <w:rFonts w:ascii="Consolas" w:hAnsi="Consolas"/>
          <w:b w:val="0"/>
          <w:i w:val="0"/>
          <w:sz w:val="18"/>
        </w:rPr>
        <w:t>--with-decisions</w:t>
      </w:r>
      <w:r>
        <w:rPr>
          <w:b w:val="0"/>
          <w:i w:val="0"/>
        </w:rPr>
        <w:t xml:space="preserve"> is unchanged, and its verify checks and golden values stay as they are. A bootstrap with a pack ends with a tie-out against the pack's manifest: reviewed fee lines, locked EIRs, each locked rate, the governance settings and the users. Each must equal the source database, or be named on the replay report. The verify checks of a bootstrap with a pack are recorded beside the golden values as a second set, since people's decisions move the EIR and the figures that follow it.</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r>
        <w:tc>
          <w:tcPr>
            <w:tcW w:type="dxa" w:w="2493"/>
          </w:tcPr>
          <w:p>
            <w:r>
              <w:rPr>
                <w:b w:val="0"/>
                <w:sz w:val="17"/>
              </w:rPr>
            </w:r>
            <w:r>
              <w:rPr>
                <w:b w:val="0"/>
                <w:i w:val="0"/>
                <w:sz w:val="17"/>
              </w:rPr>
              <w:t>S12</w:t>
            </w:r>
          </w:p>
        </w:tc>
        <w:tc>
          <w:tcPr>
            <w:tcW w:type="dxa" w:w="2493"/>
          </w:tcPr>
          <w:p>
            <w:r>
              <w:rPr>
                <w:b w:val="0"/>
                <w:sz w:val="17"/>
              </w:rPr>
            </w:r>
            <w:r>
              <w:rPr>
                <w:b w:val="0"/>
                <w:i w:val="0"/>
                <w:sz w:val="17"/>
              </w:rPr>
              <w:t>Where the decisions pack is kept</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In the project repository beside the E-Banker packs, which already hold MAIIC's data; never with passwords or two-factor secrets</w:t>
            </w:r>
          </w:p>
        </w:tc>
      </w:tr>
      <w:tr>
        <w:tc>
          <w:tcPr>
            <w:tcW w:type="dxa" w:w="2493"/>
          </w:tcPr>
          <w:p>
            <w:r>
              <w:rPr>
                <w:b w:val="0"/>
                <w:sz w:val="17"/>
              </w:rPr>
            </w:r>
            <w:r>
              <w:rPr>
                <w:b w:val="0"/>
                <w:i w:val="0"/>
                <w:sz w:val="17"/>
              </w:rPr>
              <w:t>S13</w:t>
            </w:r>
          </w:p>
        </w:tc>
        <w:tc>
          <w:tcPr>
            <w:tcW w:type="dxa" w:w="2493"/>
          </w:tcPr>
          <w:p>
            <w:r>
              <w:rPr>
                <w:b w:val="0"/>
                <w:sz w:val="17"/>
              </w:rPr>
            </w:r>
            <w:r>
              <w:rPr>
                <w:b w:val="0"/>
                <w:i w:val="0"/>
                <w:sz w:val="17"/>
              </w:rPr>
              <w:t>How carried users sign in for the first time</w:t>
            </w:r>
          </w:p>
        </w:tc>
        <w:tc>
          <w:tcPr>
            <w:tcW w:type="dxa" w:w="2493"/>
          </w:tcPr>
          <w:p>
            <w:r>
              <w:rPr>
                <w:b w:val="0"/>
                <w:sz w:val="17"/>
              </w:rPr>
            </w:r>
            <w:r>
              <w:rPr>
                <w:b w:val="0"/>
                <w:i w:val="0"/>
                <w:sz w:val="17"/>
              </w:rPr>
              <w:t>MAIIC ICT</w:t>
            </w:r>
          </w:p>
        </w:tc>
        <w:tc>
          <w:tcPr>
            <w:tcW w:type="dxa" w:w="2493"/>
          </w:tcPr>
          <w:p>
            <w:r>
              <w:rPr>
                <w:b w:val="0"/>
                <w:sz w:val="17"/>
              </w:rPr>
            </w:r>
            <w:r>
              <w:rPr>
                <w:b w:val="0"/>
                <w:i w:val="0"/>
                <w:sz w:val="17"/>
              </w:rPr>
              <w:t>Each sets a new password through the reset link; no password is carried</w:t>
            </w:r>
          </w:p>
        </w:tc>
      </w:tr>
      <w:tr>
        <w:tc>
          <w:tcPr>
            <w:tcW w:type="dxa" w:w="2493"/>
          </w:tcPr>
          <w:p>
            <w:r>
              <w:rPr>
                <w:b w:val="0"/>
                <w:sz w:val="17"/>
              </w:rPr>
            </w:r>
            <w:r>
              <w:rPr>
                <w:b w:val="0"/>
                <w:i w:val="0"/>
                <w:sz w:val="17"/>
              </w:rPr>
              <w:t>S14</w:t>
            </w:r>
          </w:p>
        </w:tc>
        <w:tc>
          <w:tcPr>
            <w:tcW w:type="dxa" w:w="2493"/>
          </w:tcPr>
          <w:p>
            <w:r>
              <w:rPr>
                <w:b w:val="0"/>
                <w:sz w:val="17"/>
              </w:rPr>
            </w:r>
            <w:r>
              <w:rPr>
                <w:b w:val="0"/>
                <w:i w:val="0"/>
                <w:sz w:val="17"/>
              </w:rPr>
              <w:t>Who runs the export on MAIIC's server, and when</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MAIIC ICT, read-only, before any fresh bootstrap that is to replace a database people have worked in</w:t>
            </w:r>
          </w:p>
        </w:tc>
      </w:tr>
    </w:tbl>
    <w:p/>
    <w:p>
      <w:pPr>
        <w:pStyle w:val="Heading2"/>
      </w:pPr>
      <w:r>
        <w:t>10. Acceptance</w:t>
      </w:r>
    </w:p>
    <w:p>
      <w:pPr>
        <w:pStyle w:val="ListNumber"/>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pPr>
      <w:r>
        <w:rPr>
          <w:b/>
          <w:i w:val="0"/>
        </w:rPr>
        <w:t>Adoption.</w:t>
      </w:r>
      <w:r>
        <w:rPr>
          <w:b w:val="0"/>
          <w:i w:val="0"/>
        </w:rPr>
        <w:t xml:space="preserve"> Approving directive-aligned staging from a month stages that month and later ones on the new rules; locked months are unchanged.</w:t>
      </w:r>
    </w:p>
    <w:p>
      <w:pPr>
        <w:pStyle w:val="ListNumber"/>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pPr>
      <w:r>
        <w:rPr>
          <w:b/>
          <w:i w:val="0"/>
        </w:rPr>
        <w:t>RBM return unchanged.</w:t>
      </w:r>
      <w:r>
        <w:rPr>
          <w:b w:val="0"/>
          <w:i w:val="0"/>
        </w:rPr>
        <w:t xml:space="preserve"> The RBM return for a month is identical whichever staging policy is in force.</w:t>
      </w:r>
    </w:p>
    <w:p>
      <w:pPr>
        <w:pStyle w:val="ListNumber"/>
      </w:pPr>
      <w:r>
        <w:rPr>
          <w:b/>
          <w:i w:val="0"/>
        </w:rPr>
        <w:t>No silent default.</w:t>
      </w:r>
      <w:r>
        <w:rPr>
          <w:b w:val="0"/>
          <w:i w:val="0"/>
        </w:rPr>
        <w:t xml:space="preserve"> Removing a staging setting for a month stops staging with a named error, as today.</w:t>
      </w:r>
    </w:p>
    <w:p>
      <w:pPr>
        <w:pStyle w:val="ListNumber"/>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pPr>
      <w:r>
        <w:rPr>
          <w:b/>
          <w:i w:val="0"/>
        </w:rPr>
        <w:t>Approvals register.</w:t>
      </w:r>
      <w:r>
        <w:rPr>
          <w:b w:val="0"/>
          <w:i w:val="0"/>
        </w:rPr>
        <w:t xml:space="preserve"> The Approvals view lists every pending and decided item across all workflows and reconciles to the audit log: a decided item with no audit entry, and an audit decision entry for an item not on record, are each named. A document linked to a second decision counts as that decision's evidence, and an approval made before supporting documents were required is labelled as such.</w:t>
      </w:r>
    </w:p>
    <w:p>
      <w:pPr>
        <w:pStyle w:val="ListNumber"/>
      </w:pPr>
      <w:r>
        <w:rPr>
          <w:b/>
          <w:i w:val="0"/>
        </w:rPr>
        <w:t>Run record.</w:t>
      </w:r>
      <w:r>
        <w:rPr>
          <w:b w:val="0"/>
          <w:i w:val="0"/>
        </w:rPr>
        <w:t xml:space="preserve"> Every month-end run writes a run record with the frozen snapshot of section 8.8; its fingerprint verifies, and a snapshot altered afterwards does not; every result row of the month carries the run number; an engine run from a screen gets a run record of its own.</w:t>
      </w:r>
    </w:p>
    <w:p>
      <w:pPr>
        <w:pStyle w:val="ListNumber"/>
      </w:pPr>
      <w:r>
        <w:rPr>
          <w:b/>
          <w:i w:val="0"/>
        </w:rPr>
        <w:t>Run of record.</w:t>
      </w:r>
      <w:r>
        <w:rPr>
          <w:b w:val="0"/>
          <w:i w:val="0"/>
        </w:rPr>
        <w:t xml:space="preserve"> Locking a month names the run whose figures were reported, and is refused when there is none or when a screen run has changed the month since; a later rebuild of an unlocked month supersedes earlier runs and keeps them.</w:t>
      </w:r>
    </w:p>
    <w:p>
      <w:pPr>
        <w:pStyle w:val="ListNumber"/>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pPr>
      <w:r>
        <w:rPr>
          <w:b/>
          <w:i w:val="0"/>
        </w:rPr>
        <w:t>Re-performance.</w:t>
      </w:r>
      <w:r>
        <w:rPr>
          <w:b w:val="0"/>
          <w:i w:val="0"/>
        </w:rPr>
        <w:t xml:space="preserve"> Re-running a locked month from its snapshot reproduces its stored stages, ECL and revenue loan by loan, or names each difference; an input of the month that no longer matches the snapshot is named; a run whose snapshot no longer verifies is not re-performed.</w:t>
      </w:r>
    </w:p>
    <w:p>
      <w:pPr>
        <w:pStyle w:val="ListNumber"/>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ListNumber"/>
      </w:pPr>
      <w:r>
        <w:rPr>
          <w:b/>
          <w:i w:val="0"/>
        </w:rPr>
        <w:t>Export writes nothing.</w:t>
      </w:r>
      <w:r>
        <w:rPr>
          <w:b w:val="0"/>
          <w:i w:val="0"/>
        </w:rPr>
        <w:t xml:space="preserve"> </w:t>
      </w:r>
      <w:r>
        <w:rPr>
          <w:rFonts w:ascii="Consolas" w:hAnsi="Consolas"/>
          <w:b w:val="0"/>
          <w:i w:val="0"/>
          <w:sz w:val="18"/>
        </w:rPr>
        <w:t>decisions:export</w:t>
      </w:r>
      <w:r>
        <w:rPr>
          <w:b w:val="0"/>
          <w:i w:val="0"/>
        </w:rPr>
        <w:t xml:space="preserve"> leaves the database it reads unchanged, and its pack holds no database id, no password and no two-factor secret.</w:t>
      </w:r>
    </w:p>
    <w:p>
      <w:pPr>
        <w:pStyle w:val="ListNumber"/>
      </w:pPr>
      <w:r>
        <w:rPr>
          <w:b/>
          <w:i w:val="0"/>
        </w:rPr>
        <w:t>Replay reproduces.</w:t>
      </w:r>
      <w:r>
        <w:rPr>
          <w:b w:val="0"/>
          <w:i w:val="0"/>
        </w:rPr>
        <w:t xml:space="preserve"> A fresh bootstrap with a pack exported from a database ends with the same reviewed fee lines, locked EIRs and locked rates, governance settings and users as that database, or names each difference on the replay report.</w:t>
      </w:r>
    </w:p>
    <w:p>
      <w:pPr>
        <w:pStyle w:val="ListNumber"/>
      </w:pPr>
      <w:r>
        <w:rPr>
          <w:b/>
          <w:i w:val="0"/>
        </w:rPr>
        <w:t>Carried, not new.</w:t>
      </w:r>
      <w:r>
        <w:rPr>
          <w:b w:val="0"/>
          <w:i w:val="0"/>
        </w:rPr>
        <w:t xml:space="preserve"> Every replayed decision keeps its original person and date, carries the decisions-pack audit entry, and never the System Bootstrap label.</w:t>
      </w:r>
    </w:p>
    <w:p>
      <w:pPr>
        <w:pStyle w:val="ListNumber"/>
      </w:pPr>
      <w:r>
        <w:rPr>
          <w:b/>
          <w:i w:val="0"/>
        </w:rPr>
        <w:t>Nothing forced.</w:t>
      </w:r>
      <w:r>
        <w:rPr>
          <w:b w:val="0"/>
          <w:i w:val="0"/>
        </w:rPr>
        <w:t xml:space="preserve"> A decision whose row is missing or different in the fresh database is left undecided and listed with its reason.</w:t>
      </w:r>
    </w:p>
    <w:p>
      <w:pPr>
        <w:pStyle w:val="ListNumber"/>
      </w:pPr>
      <w:r>
        <w:rPr>
          <w:b/>
          <w:i w:val="0"/>
        </w:rPr>
        <w:t>No pack, no change.</w:t>
      </w:r>
      <w:r>
        <w:rPr>
          <w:b w:val="0"/>
          <w:i w:val="0"/>
        </w:rPr>
        <w:t xml:space="preserve"> A bootstrap without a pack gives the same verify results as before the pack was built.</w:t>
      </w:r>
    </w:p>
    <w:p>
      <w:pPr>
        <w:pStyle w:val="Heading2"/>
      </w:pPr>
      <w:r>
        <w:t>11. Build order</w:t>
      </w:r>
    </w:p>
    <w:p>
      <w:pPr>
        <w:spacing w:after="120"/>
      </w:pPr>
      <w:r>
        <w:rPr>
          <w:b w:val="0"/>
          <w:i w:val="0"/>
        </w:rPr>
        <w:t>The work is done in five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c>
          <w:tcPr>
            <w:tcW w:type="dxa" w:w="1994"/>
          </w:tcPr>
          <w:p>
            <w:r>
              <w:rPr>
                <w:b w:val="0"/>
                <w:sz w:val="17"/>
              </w:rPr>
            </w:r>
            <w:r>
              <w:rPr>
                <w:b/>
                <w:i w:val="0"/>
                <w:sz w:val="17"/>
              </w:rPr>
              <w:t>3a. Decisions pack</w:t>
            </w:r>
          </w:p>
        </w:tc>
        <w:tc>
          <w:tcPr>
            <w:tcW w:type="dxa" w:w="1994"/>
          </w:tcPr>
          <w:p>
            <w:r>
              <w:rPr>
                <w:b w:val="0"/>
                <w:sz w:val="17"/>
              </w:rPr>
            </w:r>
            <w:r>
              <w:rPr>
                <w:b w:val="0"/>
                <w:i w:val="0"/>
                <w:sz w:val="17"/>
              </w:rPr>
              <w:t>The export and the replay of section 8.10, the replay report and the tie-out; then an export from MAIIC's database by MAIIC ICT and a bootstrap with it on a throw-away database, to show the decisions carried</w:t>
            </w:r>
          </w:p>
        </w:tc>
        <w:tc>
          <w:tcPr>
            <w:tcW w:type="dxa" w:w="1994"/>
          </w:tcPr>
          <w:p>
            <w:r>
              <w:rPr>
                <w:b w:val="0"/>
                <w:sz w:val="17"/>
              </w:rPr>
            </w:r>
            <w:r>
              <w:rPr>
                <w:b w:val="0"/>
                <w:i w:val="0"/>
                <w:sz w:val="17"/>
              </w:rPr>
              <w:t>8.10</w:t>
            </w:r>
          </w:p>
        </w:tc>
        <w:tc>
          <w:tcPr>
            <w:tcW w:type="dxa" w:w="1994"/>
          </w:tcPr>
          <w:p>
            <w:r>
              <w:rPr>
                <w:b w:val="0"/>
                <w:sz w:val="17"/>
              </w:rPr>
            </w:r>
            <w:r>
              <w:rPr>
                <w:b w:val="0"/>
                <w:i w:val="0"/>
                <w:sz w:val="17"/>
              </w:rPr>
              <w:t>24 to 28</w:t>
            </w:r>
          </w:p>
        </w:tc>
        <w:tc>
          <w:tcPr>
            <w:tcW w:type="dxa" w:w="1994"/>
          </w:tcPr>
          <w:p>
            <w:r>
              <w:rPr>
                <w:b w:val="0"/>
                <w:sz w:val="17"/>
              </w:rPr>
            </w:r>
            <w:r>
              <w:rPr>
                <w:b w:val="0"/>
                <w:i w:val="0"/>
                <w:sz w:val="17"/>
              </w:rPr>
              <w:t>About 1 to 1.5 days</w:t>
            </w:r>
          </w:p>
        </w:tc>
      </w:tr>
      <w:t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pPr>
      <w:r>
        <w:rPr>
          <w:b w:val="0"/>
          <w:i w:val="0"/>
        </w:rPr>
        <w:t>The total is about 12 to 13 days of build, with the decisions pack (phase 3a, added on 15 October 2026).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val="0"/>
                <w:i w:val="0"/>
                <w:sz w:val="17"/>
              </w:rPr>
              <w:t>6a</w:t>
            </w:r>
          </w:p>
        </w:tc>
        <w:tc>
          <w:tcPr>
            <w:tcW w:type="dxa" w:w="2493"/>
          </w:tcPr>
          <w:p>
            <w:r>
              <w:rPr>
                <w:b w:val="0"/>
                <w:sz w:val="17"/>
              </w:rPr>
            </w:r>
            <w:r>
              <w:rPr>
                <w:b w:val="0"/>
                <w:i w:val="0"/>
                <w:sz w:val="17"/>
              </w:rPr>
              <w:t>8.10: the decisions pack</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i w:val="0"/>
                <w:sz w:val="17"/>
              </w:rPr>
              <w:t>M3a</w:t>
            </w:r>
          </w:p>
        </w:tc>
        <w:tc>
          <w:tcPr>
            <w:tcW w:type="dxa" w:w="2493"/>
          </w:tcPr>
          <w:p>
            <w:r>
              <w:rPr>
                <w:b w:val="0"/>
                <w:sz w:val="17"/>
              </w:rPr>
            </w:r>
            <w:r>
              <w:rPr>
                <w:b/>
                <w:i w:val="0"/>
                <w:sz w:val="17"/>
              </w:rPr>
              <w:t>Merge and release phase 3a</w:t>
            </w:r>
            <w:r>
              <w:rPr>
                <w:b w:val="0"/>
                <w:i w:val="0"/>
                <w:sz w:val="17"/>
              </w:rPr>
              <w:t>, then MAIIC's export and a bootstrap with it on a throw-away database</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28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