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can read as current.</w:t>
      </w:r>
      <w:r>
        <w:rPr>
          <w:b w:val="0"/>
          <w:i w:val="0"/>
        </w:rPr>
        <w:t xml:space="preserve"> Bucket ageing takes E-Banker's report as it stands, and that report leaves the arrears empty on many matured loans. On the system's data, the Mega Farm bullet loans that matured in 2025 read 0 days on about 47 billion kwacha. The December workbooks had them in Stage 3 only because their own loan book had the arrears filled in.</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Core-system ageing only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Without the maturity count, matured bullet loans can read current (section 2.3, item 2)</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ties of the bootstrap</w:t>
            </w:r>
          </w:p>
        </w:tc>
        <w:tc>
          <w:tcPr>
            <w:tcW w:type="dxa" w:w="3324"/>
          </w:tcPr>
          <w:p>
            <w:r>
              <w:rPr>
                <w:b w:val="0"/>
                <w:sz w:val="17"/>
              </w:rPr>
            </w:r>
            <w:r>
              <w:rPr>
                <w:b w:val="0"/>
                <w:i w:val="0"/>
                <w:sz w:val="17"/>
              </w:rPr>
              <w:t>No</w:t>
            </w:r>
          </w:p>
        </w:tc>
        <w:tc>
          <w:tcPr>
            <w:tcW w:type="dxa" w:w="3324"/>
          </w:tcPr>
          <w:p>
            <w:r>
              <w:rPr>
                <w:b w:val="0"/>
                <w:sz w:val="17"/>
              </w:rPr>
            </w:r>
            <w:r>
              <w:rPr>
                <w:b w:val="0"/>
                <w:i w:val="0"/>
                <w:sz w:val="17"/>
              </w:rPr>
              <w:t>None of the nine reads the stage</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jc w:val="both"/>
      </w:pPr>
      <w:r>
        <w:rPr>
          <w:b w:val="0"/>
          <w:i w:val="0"/>
        </w:rPr>
        <w:t>An auditor looking at a month a year later needs to know exactly what that month's figures were computed with: which settings, rules, models, data and code. Today that can only be partly reconstructed:</w:t>
      </w:r>
    </w:p>
    <w:p>
      <w:pPr>
        <w:pStyle w:val="ListBullet"/>
        <w:jc w:val="both"/>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jc w:val="both"/>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jc w:val="both"/>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jc w:val="both"/>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jc w:val="both"/>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jc w:val="both"/>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rPr>
          <w:cantSplit/>
        </w:trP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The bootstrap's nine golden ties still pass.</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w:t>
      </w:r>
    </w:p>
    <w:p>
      <w:pPr>
        <w:pStyle w:val="ListNumber"/>
        <w:jc w:val="both"/>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jc w:val="both"/>
      </w:pPr>
      <w:r>
        <w:rPr>
          <w:b/>
          <w:i w:val="0"/>
        </w:rPr>
        <w:t>Run of record.</w:t>
      </w:r>
      <w:r>
        <w:rPr>
          <w:b w:val="0"/>
          <w:i w:val="0"/>
        </w:rPr>
        <w:t xml:space="preserve"> Locking a month names the run whose figures were reported; a later rebuild of an unlocked month supersedes earlier runs and keeps them.</w:t>
      </w:r>
    </w:p>
    <w:p>
      <w:pPr>
        <w:pStyle w:val="ListNumber"/>
        <w:jc w:val="both"/>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jc w:val="both"/>
      </w:pPr>
      <w:r>
        <w:rPr>
          <w:b/>
          <w:i w:val="0"/>
        </w:rPr>
        <w:t>Re-performance.</w:t>
      </w:r>
      <w:r>
        <w:rPr>
          <w:b w:val="0"/>
          <w:i w:val="0"/>
        </w:rPr>
        <w:t xml:space="preserve"> Re-running a locked month from its snapshot reproduces its stored stages, ECL and revenue loan by loan, or names each difference.</w:t>
      </w:r>
    </w:p>
    <w:p>
      <w:pPr>
        <w:pStyle w:val="Heading2"/>
      </w:pPr>
      <w:r>
        <w:t>11. Build order</w:t>
      </w:r>
    </w:p>
    <w:p>
      <w:pPr>
        <w:spacing w:after="120"/>
        <w:jc w:val="both"/>
      </w:pPr>
      <w:r>
        <w:rPr>
          <w:b w:val="0"/>
          <w:i w:val="0"/>
        </w:rPr>
        <w:t>The work is done in four phases, so that the parts that protect the locked months and unblock decisions arrive first. Each phase is tested, released to MAIIC's server by the release steps of the integration document (section 2.2: push, pull, migrate, bootstrap with the nine ties passing) and only then followed by the next. The sizes are Dupleix's estimates of the build, before release.</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rPr>
          <w:cantSplit/>
        </w:trPr>
        <w:tc>
          <w:tcPr>
            <w:tcW w:type="dxa" w:w="1994"/>
          </w:tcPr>
          <w:p>
            <w:r>
              <w:rPr>
                <w:b w:val="0"/>
                <w:sz w:val="17"/>
              </w:rPr>
            </w:r>
            <w:r>
              <w:rPr>
                <w:b/>
                <w:i w:val="0"/>
                <w:sz w:val="17"/>
              </w:rPr>
              <w:t>1. Protect the locked months</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w:t>
            </w:r>
          </w:p>
        </w:tc>
        <w:tc>
          <w:tcPr>
            <w:tcW w:type="dxa" w:w="1994"/>
          </w:tcPr>
          <w:p>
            <w:r>
              <w:rPr>
                <w:b w:val="0"/>
                <w:sz w:val="17"/>
              </w:rPr>
            </w:r>
            <w:r>
              <w:rPr>
                <w:b w:val="0"/>
                <w:i w:val="0"/>
                <w:sz w:val="17"/>
              </w:rPr>
              <w:t>8.8, item 4</w:t>
            </w:r>
          </w:p>
        </w:tc>
        <w:tc>
          <w:tcPr>
            <w:tcW w:type="dxa" w:w="1994"/>
          </w:tcPr>
          <w:p>
            <w:r>
              <w:rPr>
                <w:b w:val="0"/>
                <w:sz w:val="17"/>
              </w:rPr>
            </w:r>
            <w:r>
              <w:rPr>
                <w:b w:val="0"/>
                <w:i w:val="0"/>
                <w:sz w:val="17"/>
              </w:rPr>
              <w:t>18</w:t>
            </w:r>
          </w:p>
        </w:tc>
        <w:tc>
          <w:tcPr>
            <w:tcW w:type="dxa" w:w="1994"/>
          </w:tcPr>
          <w:p>
            <w:r>
              <w:rPr>
                <w:b w:val="0"/>
                <w:sz w:val="17"/>
              </w:rPr>
            </w:r>
            <w:r>
              <w:rPr>
                <w:b w:val="0"/>
                <w:i w:val="0"/>
                <w:sz w:val="17"/>
              </w:rPr>
              <w:t>About half a day</w:t>
            </w:r>
          </w:p>
        </w:tc>
      </w:tr>
      <w:tr>
        <w:trPr>
          <w:cantSplit/>
        </w:trPr>
        <w:tc>
          <w:tcPr>
            <w:tcW w:type="dxa" w:w="1994"/>
          </w:tcPr>
          <w:p>
            <w:r>
              <w:rPr>
                <w:b w:val="0"/>
                <w:sz w:val="17"/>
              </w:rPr>
            </w:r>
            <w:r>
              <w:rPr>
                <w:b/>
                <w:i w:val="0"/>
                <w:sz w:val="17"/>
              </w:rPr>
              <w:t>2.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rPr>
          <w:cantSplit/>
        </w:trP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rPr>
          <w:cantSplit/>
        </w:trP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rPr>
          <w:cantSplit/>
        </w:trP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jc w:val="both"/>
      </w:pPr>
      <w:r>
        <w:rPr>
          <w:b w:val="0"/>
          <w:i w:val="0"/>
        </w:rPr>
        <w:t>The total is about 9.5 days of build, as before; the order brings the protection of locked months, governed staging and the controlled fee rulebook into the first four days. Not included: the time to resolve the bootstrap's slow final steps seen on 15 October 2026, which must be fixed before the first release, since each release depends on the bootstrap passing on MAIIC's server.</w:t>
      </w:r>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rPr>
          <w:cantSplit/>
        </w:trP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rPr>
          <w:cantSplit/>
        </w:trP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