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6470"/>
          <w:sz w:val="18"/>
        </w:rPr>
      </w:r>
    </w:p>
    <w:p>
      <w:pPr>
        <w:pStyle w:val="Heading1"/>
      </w:pPr>
      <w:r>
        <w:t>MAIIC_After_Build_Report_2026-10-08</w:t>
      </w:r>
    </w:p>
    <w:p>
      <w:pPr>
        <w:spacing w:after="120"/>
      </w:pPr>
      <w:r>
        <w:rPr>
          <w:b w:val="0"/>
          <w:i w:val="0"/>
        </w:rPr>
        <w:t># MAIIC EIR and IFRS 9 system: after-build report, 8 October 2026</w:t>
      </w:r>
    </w:p>
    <w:p>
      <w:pPr>
        <w:spacing w:after="120"/>
      </w:pPr>
      <w:r>
        <w:rPr>
          <w:b/>
          <w:i w:val="0"/>
        </w:rPr>
        <w:t>What this is.</w:t>
      </w:r>
      <w:r>
        <w:rPr>
          <w:b w:val="0"/>
          <w:i w:val="0"/>
        </w:rPr>
        <w:t xml:space="preserve"> On 8 October 2026 the build set out in </w:t>
      </w:r>
      <w:r>
        <w:rPr>
          <w:b w:val="0"/>
          <w:i/>
        </w:rPr>
        <w:t>MAIIC EIR Engine Specification v4</w:t>
      </w:r>
      <w:r>
        <w:rPr>
          <w:b w:val="0"/>
          <w:i w:val="0"/>
        </w:rPr>
        <w:t xml:space="preserve"> (7 October 2026) was carried out against the specification, section by section, on the MAICC-IFRS9 repository (branch </w:t>
      </w:r>
      <w:r>
        <w:rPr>
          <w:rFonts w:ascii="Consolas" w:hAnsi="Consolas"/>
          <w:b w:val="0"/>
          <w:i w:val="0"/>
          <w:sz w:val="18"/>
        </w:rPr>
        <w:t>eir_revenue_recognition</w:t>
      </w:r>
      <w:r>
        <w:rPr>
          <w:b w:val="0"/>
          <w:i w:val="0"/>
        </w:rPr>
        <w:t xml:space="preserve">, commits </w:t>
      </w:r>
      <w:r>
        <w:rPr>
          <w:rFonts w:ascii="Consolas" w:hAnsi="Consolas"/>
          <w:b w:val="0"/>
          <w:i w:val="0"/>
          <w:sz w:val="18"/>
        </w:rPr>
        <w:t>32e7d99</w:t>
      </w:r>
      <w:r>
        <w:rPr>
          <w:b w:val="0"/>
          <w:i w:val="0"/>
        </w:rPr>
        <w:t xml:space="preserve"> to </w:t>
      </w:r>
      <w:r>
        <w:rPr>
          <w:rFonts w:ascii="Consolas" w:hAnsi="Consolas"/>
          <w:b w:val="0"/>
          <w:i w:val="0"/>
          <w:sz w:val="18"/>
        </w:rPr>
        <w:t>09ac5da</w:t>
      </w:r>
      <w:r>
        <w:rPr>
          <w:b w:val="0"/>
          <w:i w:val="0"/>
        </w:rPr>
        <w:t>). This report says what was built, what the system proved when it ran, what the build found in the data and in the system that the specification did not know, and what is still owed. It is the comparison the specification asked for in its own section 8 (the build plan): the original specification stands as written; this report is read beside it.</w:t>
      </w:r>
    </w:p>
    <w:p>
      <w:pPr>
        <w:spacing w:after="120"/>
      </w:pPr>
      <w:r>
        <w:rPr>
          <w:b w:val="0"/>
          <w:i w:val="0"/>
        </w:rPr>
        <w:t xml:space="preserve">The production database </w:t>
      </w:r>
      <w:r>
        <w:rPr>
          <w:rFonts w:ascii="Consolas" w:hAnsi="Consolas"/>
          <w:b w:val="0"/>
          <w:i w:val="0"/>
          <w:sz w:val="18"/>
        </w:rPr>
        <w:t>maiic_ifrs9</w:t>
      </w:r>
      <w:r>
        <w:rPr>
          <w:b w:val="0"/>
          <w:i w:val="0"/>
        </w:rPr>
        <w:t xml:space="preserve"> was not opened. The build was proven twice: on the demo copy (</w:t>
      </w:r>
      <w:r>
        <w:rPr>
          <w:rFonts w:ascii="Consolas" w:hAnsi="Consolas"/>
          <w:b w:val="0"/>
          <w:i w:val="0"/>
          <w:sz w:val="18"/>
        </w:rPr>
        <w:t>maiic_ifrs9_demo</w:t>
      </w:r>
      <w:r>
        <w:rPr>
          <w:b w:val="0"/>
          <w:i w:val="0"/>
        </w:rPr>
        <w:t>, which also holds the data of the 8 October demo), and on a throwaway database (</w:t>
      </w:r>
      <w:r>
        <w:rPr>
          <w:rFonts w:ascii="Consolas" w:hAnsi="Consolas"/>
          <w:b w:val="0"/>
          <w:i w:val="0"/>
          <w:sz w:val="18"/>
        </w:rPr>
        <w:t>maiic_ifrs9_bootstrap</w:t>
      </w:r>
      <w:r>
        <w:rPr>
          <w:b w:val="0"/>
          <w:i w:val="0"/>
        </w:rPr>
        <w:t>) wiped and rebuilt from nothing by the bootstrap command, which is the test the specification set for the data foundation.</w:t>
      </w:r>
    </w:p>
    <w:p>
      <w:pPr>
        <w:pStyle w:val="Heading2"/>
      </w:pPr>
      <w:r>
        <w:t>1. In plain language</w:t>
      </w:r>
    </w:p>
    <w:p>
      <w:pPr>
        <w:spacing w:after="120"/>
      </w:pPr>
      <w:r>
        <w:rPr>
          <w:b w:val="0"/>
          <w:i w:val="0"/>
        </w:rPr>
        <w:t xml:space="preserve">The specification said the system should load itself from E-Banker's own tables through one door with gates, build the monthly loan book from the ledger, hold the take-on schedules as data, run its engines in order, and prove the result against golden numbers, all from one command on a clean database. That is now what happens: </w:t>
      </w:r>
      <w:r>
        <w:rPr>
          <w:rFonts w:ascii="Consolas" w:hAnsi="Consolas"/>
          <w:b w:val="0"/>
          <w:i w:val="0"/>
          <w:sz w:val="18"/>
        </w:rPr>
        <w:t>php artisan eir:bootstrap --fresh --with-client-inputs --build --run-engines --verify</w:t>
      </w:r>
      <w:r>
        <w:rPr>
          <w:b w:val="0"/>
          <w:i w:val="0"/>
        </w:rPr>
        <w:t xml:space="preserve"> takes a wiped database to a proven state in about 80 seconds, and every golden check passes. The ledger-derived loan book reproduces E-Banker's own carrying amount to the cent on 2,361 of 2,361 account-months. The interest posted from January 2025 to July 2026 is the 5,293,988,207.06 the audit found. The loan GLs at 31 December 2025 tie to the trial balance to the cent, with the two FInES GLs off by exactly the keyed-opening exception Finance has been asked to correct.</w:t>
      </w:r>
    </w:p>
    <w:p>
      <w:pPr>
        <w:spacing w:after="120"/>
      </w:pPr>
      <w:r>
        <w:rPr>
          <w:b w:val="0"/>
          <w:i w:val="0"/>
        </w:rPr>
        <w:t>The screens moved to the suite layout with light and dark mode, and three screens the specification asked for exist: the E-Banker Feed, the Take-on Schedules and the EIR as at a Date. The transmission methods for the forward-looking adjustment are built as governed choices, each explained in the system with its preconditions checked against MAIIC's data.</w:t>
      </w:r>
    </w:p>
    <w:p>
      <w:pPr>
        <w:spacing w:after="120"/>
      </w:pPr>
      <w:r>
        <w:rPr>
          <w:b w:val="0"/>
          <w:i w:val="0"/>
        </w:rPr>
        <w:t xml:space="preserve">Three things the specification did not know were found. The application already holds a </w:t>
      </w:r>
      <w:r>
        <w:rPr>
          <w:b/>
          <w:i w:val="0"/>
        </w:rPr>
        <w:t>November 2025 Mega Farm loan book</w:t>
      </w:r>
      <w:r>
        <w:rPr>
          <w:b w:val="0"/>
          <w:i w:val="0"/>
        </w:rPr>
        <w:t xml:space="preserve"> of 3,490 loans across six GLs (K54.85 billion), loaded on 21 January 2026 with no ECL computed; it bears directly on the Mega Farm questions of specification section 16. The production database carries </w:t>
      </w:r>
      <w:r>
        <w:rPr>
          <w:b/>
          <w:i w:val="0"/>
        </w:rPr>
        <w:t>three columns no migration created</w:t>
      </w:r>
      <w:r>
        <w:rPr>
          <w:b w:val="0"/>
          <w:i w:val="0"/>
        </w:rPr>
        <w:t>, which a clean install would have lacked; a guarded migration now adds them. And the take-on schedules, compared with E-Banker's opening postings, differ on 72 of 73 mapped accounts, because they are contractual, not actual; the build keeps every take-on loan at its take-on balance, as the governed basis says, until the fees arrive.</w:t>
      </w:r>
    </w:p>
    <w:p>
      <w:pPr>
        <w:spacing w:after="120"/>
      </w:pPr>
      <w:r>
        <w:rPr>
          <w:b w:val="0"/>
          <w:i w:val="0"/>
        </w:rPr>
        <w:t>What remains is set out in section 6: the forward-looking regression chain and the scenario-set engine (the specification's FL-1 to FL-4 and SC-1 to SC-4), the audit workbooks (CA-1 to CA-4), the Mega Farm module (section 16), the page-by-page dark-mode sweep, and the decisions MAIIC owes.</w:t>
      </w:r>
    </w:p>
    <w:p>
      <w:pPr>
        <w:pStyle w:val="Heading2"/>
      </w:pPr>
      <w:r>
        <w:t>2. What was built, against the specification</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2A41"/>
          </w:tcPr>
          <w:p>
            <w:r>
              <w:rPr>
                <w:b/>
                <w:color w:val="FFFFFF"/>
                <w:sz w:val="17"/>
              </w:rPr>
            </w:r>
            <w:r>
              <w:rPr>
                <w:b/>
                <w:i w:val="0"/>
                <w:color w:val="FFFFFF"/>
                <w:sz w:val="17"/>
              </w:rPr>
              <w:t>Spec section</w:t>
            </w:r>
          </w:p>
        </w:tc>
        <w:tc>
          <w:tcPr>
            <w:tcW w:type="dxa" w:w="2493"/>
            <w:shd w:val="clear" w:color="auto" w:fill="1B2A41"/>
          </w:tcPr>
          <w:p>
            <w:r>
              <w:rPr>
                <w:b/>
                <w:color w:val="FFFFFF"/>
                <w:sz w:val="17"/>
              </w:rPr>
            </w:r>
            <w:r>
              <w:rPr>
                <w:b/>
                <w:i w:val="0"/>
                <w:color w:val="FFFFFF"/>
                <w:sz w:val="17"/>
              </w:rPr>
              <w:t>What the specification asked for</w:t>
            </w:r>
          </w:p>
        </w:tc>
        <w:tc>
          <w:tcPr>
            <w:tcW w:type="dxa" w:w="2493"/>
            <w:shd w:val="clear" w:color="auto" w:fill="1B2A41"/>
          </w:tcPr>
          <w:p>
            <w:r>
              <w:rPr>
                <w:b/>
                <w:color w:val="FFFFFF"/>
                <w:sz w:val="17"/>
              </w:rPr>
            </w:r>
            <w:r>
              <w:rPr>
                <w:b/>
                <w:i w:val="0"/>
                <w:color w:val="FFFFFF"/>
                <w:sz w:val="17"/>
              </w:rPr>
              <w:t>Built</w:t>
            </w:r>
          </w:p>
        </w:tc>
        <w:tc>
          <w:tcPr>
            <w:tcW w:type="dxa" w:w="2493"/>
            <w:shd w:val="clear" w:color="auto" w:fill="1B2A41"/>
          </w:tcPr>
          <w:p>
            <w:r>
              <w:rPr>
                <w:b/>
                <w:color w:val="FFFFFF"/>
                <w:sz w:val="17"/>
              </w:rPr>
            </w:r>
            <w:r>
              <w:rPr>
                <w:b/>
                <w:i w:val="0"/>
                <w:color w:val="FFFFFF"/>
                <w:sz w:val="17"/>
              </w:rPr>
              <w:t>Where</w:t>
            </w:r>
          </w:p>
        </w:tc>
      </w:tr>
      <w:tr>
        <w:tc>
          <w:tcPr>
            <w:tcW w:type="dxa" w:w="2493"/>
          </w:tcPr>
          <w:p>
            <w:r>
              <w:rPr>
                <w:b w:val="0"/>
                <w:sz w:val="17"/>
              </w:rPr>
            </w:r>
            <w:r>
              <w:rPr>
                <w:b w:val="0"/>
                <w:i w:val="0"/>
                <w:sz w:val="17"/>
              </w:rPr>
              <w:t>4.2 Governance Centre</w:t>
            </w:r>
          </w:p>
        </w:tc>
        <w:tc>
          <w:tcPr>
            <w:tcW w:type="dxa" w:w="2493"/>
          </w:tcPr>
          <w:p>
            <w:r>
              <w:rPr>
                <w:b w:val="0"/>
                <w:sz w:val="17"/>
              </w:rPr>
            </w:r>
            <w:r>
              <w:rPr>
                <w:b w:val="0"/>
                <w:i w:val="0"/>
                <w:sz w:val="17"/>
              </w:rPr>
              <w:t>Every open choice as a governed setting with a seeded default</w:t>
            </w:r>
          </w:p>
        </w:tc>
        <w:tc>
          <w:tcPr>
            <w:tcW w:type="dxa" w:w="2493"/>
          </w:tcPr>
          <w:p>
            <w:r>
              <w:rPr>
                <w:b w:val="0"/>
                <w:sz w:val="17"/>
              </w:rPr>
            </w:r>
            <w:r>
              <w:rPr>
                <w:b w:val="0"/>
                <w:i w:val="0"/>
                <w:sz w:val="17"/>
              </w:rPr>
              <w:t>Yes: 48 settings</w:t>
            </w:r>
          </w:p>
        </w:tc>
        <w:tc>
          <w:tcPr>
            <w:tcW w:type="dxa" w:w="2493"/>
          </w:tcPr>
          <w:p>
            <w:r>
              <w:rPr>
                <w:b w:val="0"/>
                <w:sz w:val="17"/>
              </w:rPr>
            </w:r>
            <w:r>
              <w:rPr>
                <w:rFonts w:ascii="Consolas" w:hAnsi="Consolas"/>
                <w:b w:val="0"/>
                <w:i w:val="0"/>
                <w:sz w:val="17"/>
              </w:rPr>
              <w:t>GovernanceService::catalogue()</w:t>
            </w:r>
            <w:r>
              <w:rPr>
                <w:b w:val="0"/>
                <w:i w:val="0"/>
                <w:sz w:val="17"/>
              </w:rPr>
              <w:t xml:space="preserve">, </w:t>
            </w:r>
            <w:r>
              <w:rPr>
                <w:rFonts w:ascii="Consolas" w:hAnsi="Consolas"/>
                <w:b w:val="0"/>
                <w:i w:val="0"/>
                <w:sz w:val="17"/>
              </w:rPr>
              <w:t>GovernanceServiceTest</w:t>
            </w:r>
          </w:p>
        </w:tc>
      </w:tr>
      <w:tr>
        <w:tc>
          <w:tcPr>
            <w:tcW w:type="dxa" w:w="2493"/>
          </w:tcPr>
          <w:p>
            <w:r>
              <w:rPr>
                <w:b w:val="0"/>
                <w:sz w:val="17"/>
              </w:rPr>
            </w:r>
            <w:r>
              <w:rPr>
                <w:b w:val="0"/>
                <w:i w:val="0"/>
                <w:sz w:val="17"/>
              </w:rPr>
              <w:t>3.6 / D31 Staging</w:t>
            </w:r>
          </w:p>
        </w:tc>
        <w:tc>
          <w:tcPr>
            <w:tcW w:type="dxa" w:w="2493"/>
          </w:tcPr>
          <w:p>
            <w:r>
              <w:rPr>
                <w:b w:val="0"/>
                <w:sz w:val="17"/>
              </w:rPr>
            </w:r>
            <w:r>
              <w:rPr>
                <w:b w:val="0"/>
                <w:i w:val="0"/>
                <w:sz w:val="17"/>
              </w:rPr>
              <w:t>The directive's thresholds by tenor class; DPD from the oldest overdue instalment; the missed-instalment trigger</w:t>
            </w:r>
          </w:p>
        </w:tc>
        <w:tc>
          <w:tcPr>
            <w:tcW w:type="dxa" w:w="2493"/>
          </w:tcPr>
          <w:p>
            <w:r>
              <w:rPr>
                <w:b w:val="0"/>
                <w:sz w:val="17"/>
              </w:rPr>
            </w:r>
            <w:r>
              <w:rPr>
                <w:b w:val="0"/>
                <w:i w:val="0"/>
                <w:sz w:val="17"/>
              </w:rPr>
              <w:t>Yes</w:t>
            </w:r>
          </w:p>
        </w:tc>
        <w:tc>
          <w:tcPr>
            <w:tcW w:type="dxa" w:w="2493"/>
          </w:tcPr>
          <w:p>
            <w:r>
              <w:rPr>
                <w:b w:val="0"/>
                <w:sz w:val="17"/>
              </w:rPr>
            </w:r>
            <w:r>
              <w:rPr>
                <w:rFonts w:ascii="Consolas" w:hAnsi="Consolas"/>
                <w:b w:val="0"/>
                <w:i w:val="0"/>
                <w:sz w:val="17"/>
              </w:rPr>
              <w:t>StagingThresholdSeeder</w:t>
            </w:r>
            <w:r>
              <w:rPr>
                <w:b w:val="0"/>
                <w:i w:val="0"/>
                <w:sz w:val="17"/>
              </w:rPr>
              <w:t xml:space="preserve">, </w:t>
            </w:r>
            <w:r>
              <w:rPr>
                <w:rFonts w:ascii="Consolas" w:hAnsi="Consolas"/>
                <w:b w:val="0"/>
                <w:i w:val="0"/>
                <w:sz w:val="17"/>
              </w:rPr>
              <w:t>StagingService</w:t>
            </w:r>
            <w:r>
              <w:rPr>
                <w:b w:val="0"/>
                <w:i w:val="0"/>
                <w:sz w:val="17"/>
              </w:rPr>
              <w:t xml:space="preserve">, </w:t>
            </w:r>
            <w:r>
              <w:rPr>
                <w:rFonts w:ascii="Consolas" w:hAnsi="Consolas"/>
                <w:b w:val="0"/>
                <w:i w:val="0"/>
                <w:sz w:val="17"/>
              </w:rPr>
              <w:t>eir:stage</w:t>
            </w:r>
          </w:p>
        </w:tc>
      </w:tr>
      <w:tr>
        <w:tc>
          <w:tcPr>
            <w:tcW w:type="dxa" w:w="2493"/>
          </w:tcPr>
          <w:p>
            <w:r>
              <w:rPr>
                <w:b w:val="0"/>
                <w:sz w:val="17"/>
              </w:rPr>
            </w:r>
            <w:r>
              <w:rPr>
                <w:b w:val="0"/>
                <w:i w:val="0"/>
                <w:sz w:val="17"/>
              </w:rPr>
              <w:t>6.3 Landing zone</w:t>
            </w:r>
          </w:p>
        </w:tc>
        <w:tc>
          <w:tcPr>
            <w:tcW w:type="dxa" w:w="2493"/>
          </w:tcPr>
          <w:p>
            <w:r>
              <w:rPr>
                <w:b w:val="0"/>
                <w:sz w:val="17"/>
              </w:rPr>
            </w:r>
            <w:r>
              <w:rPr>
                <w:b w:val="0"/>
                <w:i w:val="0"/>
                <w:sz w:val="17"/>
              </w:rPr>
              <w:t>Raw tables mirroring E-Banker, append-only, versioned, every row carrying its pack</w:t>
            </w:r>
          </w:p>
        </w:tc>
        <w:tc>
          <w:tcPr>
            <w:tcW w:type="dxa" w:w="2493"/>
          </w:tcPr>
          <w:p>
            <w:r>
              <w:rPr>
                <w:b w:val="0"/>
                <w:sz w:val="17"/>
              </w:rPr>
            </w:r>
            <w:r>
              <w:rPr>
                <w:b w:val="0"/>
                <w:i w:val="0"/>
                <w:sz w:val="17"/>
              </w:rPr>
              <w:t>Yes, as one physical table with the query id as the logical table</w:t>
            </w:r>
          </w:p>
        </w:tc>
        <w:tc>
          <w:tcPr>
            <w:tcW w:type="dxa" w:w="2493"/>
          </w:tcPr>
          <w:p>
            <w:r>
              <w:rPr>
                <w:b w:val="0"/>
                <w:sz w:val="17"/>
              </w:rPr>
            </w:r>
            <w:r>
              <w:rPr>
                <w:b w:val="0"/>
                <w:i w:val="0"/>
                <w:sz w:val="17"/>
              </w:rPr>
              <w:t xml:space="preserve">migration </w:t>
            </w:r>
            <w:r>
              <w:rPr>
                <w:rFonts w:ascii="Consolas" w:hAnsi="Consolas"/>
                <w:b w:val="0"/>
                <w:i w:val="0"/>
                <w:sz w:val="17"/>
              </w:rPr>
              <w:t>create_ebanker_landing_zone</w:t>
            </w:r>
            <w:r>
              <w:rPr>
                <w:b w:val="0"/>
                <w:i w:val="0"/>
                <w:sz w:val="17"/>
              </w:rPr>
              <w:t xml:space="preserve">, </w:t>
            </w:r>
            <w:r>
              <w:rPr>
                <w:rFonts w:ascii="Consolas" w:hAnsi="Consolas"/>
                <w:b w:val="0"/>
                <w:i w:val="0"/>
                <w:sz w:val="17"/>
              </w:rPr>
              <w:t>PackLandingService</w:t>
            </w:r>
          </w:p>
        </w:tc>
      </w:tr>
      <w:tr>
        <w:tc>
          <w:tcPr>
            <w:tcW w:type="dxa" w:w="2493"/>
          </w:tcPr>
          <w:p>
            <w:r>
              <w:rPr>
                <w:b w:val="0"/>
                <w:sz w:val="17"/>
              </w:rPr>
            </w:r>
            <w:r>
              <w:rPr>
                <w:b w:val="0"/>
                <w:i w:val="0"/>
                <w:sz w:val="17"/>
              </w:rPr>
              <w:t>6.4 Gates</w:t>
            </w:r>
          </w:p>
        </w:tc>
        <w:tc>
          <w:tcPr>
            <w:tcW w:type="dxa" w:w="2493"/>
          </w:tcPr>
          <w:p>
            <w:r>
              <w:rPr>
                <w:b w:val="0"/>
                <w:sz w:val="17"/>
              </w:rPr>
            </w:r>
            <w:r>
              <w:rPr>
                <w:b w:val="0"/>
                <w:i w:val="0"/>
                <w:sz w:val="17"/>
              </w:rPr>
              <w:t>Hashes, counts, dates, register, keys; a failure names the file and row; quarantine</w:t>
            </w:r>
          </w:p>
        </w:tc>
        <w:tc>
          <w:tcPr>
            <w:tcW w:type="dxa" w:w="2493"/>
          </w:tcPr>
          <w:p>
            <w:r>
              <w:rPr>
                <w:b w:val="0"/>
                <w:sz w:val="17"/>
              </w:rPr>
            </w:r>
            <w:r>
              <w:rPr>
                <w:b w:val="0"/>
                <w:i w:val="0"/>
                <w:sz w:val="17"/>
              </w:rPr>
              <w:t>Yes, with key uniqueness and composite keys added</w:t>
            </w:r>
          </w:p>
        </w:tc>
        <w:tc>
          <w:tcPr>
            <w:tcW w:type="dxa" w:w="2493"/>
          </w:tcPr>
          <w:p>
            <w:r>
              <w:rPr>
                <w:b w:val="0"/>
                <w:sz w:val="17"/>
              </w:rPr>
            </w:r>
            <w:r>
              <w:rPr>
                <w:rFonts w:ascii="Consolas" w:hAnsi="Consolas"/>
                <w:b w:val="0"/>
                <w:i w:val="0"/>
                <w:sz w:val="17"/>
              </w:rPr>
              <w:t>PackLandingService</w:t>
            </w:r>
            <w:r>
              <w:rPr>
                <w:b w:val="0"/>
                <w:i w:val="0"/>
                <w:sz w:val="17"/>
              </w:rPr>
              <w:t>, 10 tests</w:t>
            </w:r>
          </w:p>
        </w:tc>
      </w:tr>
      <w:tr>
        <w:tc>
          <w:tcPr>
            <w:tcW w:type="dxa" w:w="2493"/>
          </w:tcPr>
          <w:p>
            <w:r>
              <w:rPr>
                <w:b w:val="0"/>
                <w:sz w:val="17"/>
              </w:rPr>
            </w:r>
            <w:r>
              <w:rPr>
                <w:b w:val="0"/>
                <w:i w:val="0"/>
                <w:sz w:val="17"/>
              </w:rPr>
              <w:t>6.5 Routes</w:t>
            </w:r>
          </w:p>
        </w:tc>
        <w:tc>
          <w:tcPr>
            <w:tcW w:type="dxa" w:w="2493"/>
          </w:tcPr>
          <w:p>
            <w:r>
              <w:rPr>
                <w:b w:val="0"/>
                <w:sz w:val="17"/>
              </w:rPr>
            </w:r>
            <w:r>
              <w:rPr>
                <w:b w:val="0"/>
                <w:i w:val="0"/>
                <w:sz w:val="17"/>
              </w:rPr>
              <w:t>Five routes, the one in force governed</w:t>
            </w:r>
          </w:p>
        </w:tc>
        <w:tc>
          <w:tcPr>
            <w:tcW w:type="dxa" w:w="2493"/>
          </w:tcPr>
          <w:p>
            <w:r>
              <w:rPr>
                <w:b w:val="0"/>
                <w:sz w:val="17"/>
              </w:rPr>
            </w:r>
            <w:r>
              <w:rPr>
                <w:b w:val="0"/>
                <w:i w:val="0"/>
                <w:sz w:val="17"/>
              </w:rPr>
              <w:t>Route 1 built (command and screen upload); routes 2 to 5 are the same door with a different carrier and are not yet wired</w:t>
            </w:r>
          </w:p>
        </w:tc>
        <w:tc>
          <w:tcPr>
            <w:tcW w:type="dxa" w:w="2493"/>
          </w:tcPr>
          <w:p>
            <w:r>
              <w:rPr>
                <w:b w:val="0"/>
                <w:sz w:val="17"/>
              </w:rPr>
            </w:r>
            <w:r>
              <w:rPr>
                <w:rFonts w:ascii="Consolas" w:hAnsi="Consolas"/>
                <w:b w:val="0"/>
                <w:i w:val="0"/>
                <w:sz w:val="17"/>
              </w:rPr>
              <w:t>eir:land-pack</w:t>
            </w:r>
            <w:r>
              <w:rPr>
                <w:b w:val="0"/>
                <w:i w:val="0"/>
                <w:sz w:val="17"/>
              </w:rPr>
              <w:t xml:space="preserve">, </w:t>
            </w:r>
            <w:r>
              <w:rPr>
                <w:rFonts w:ascii="Consolas" w:hAnsi="Consolas"/>
                <w:b w:val="0"/>
                <w:i w:val="0"/>
                <w:sz w:val="17"/>
              </w:rPr>
              <w:t>EirFeedController::land</w:t>
            </w:r>
          </w:p>
        </w:tc>
      </w:tr>
      <w:tr>
        <w:tc>
          <w:tcPr>
            <w:tcW w:type="dxa" w:w="2493"/>
          </w:tcPr>
          <w:p>
            <w:r>
              <w:rPr>
                <w:b w:val="0"/>
                <w:sz w:val="17"/>
              </w:rPr>
            </w:r>
            <w:r>
              <w:rPr>
                <w:b w:val="0"/>
                <w:i w:val="0"/>
                <w:sz w:val="17"/>
              </w:rPr>
              <w:t>6.2 / 6.6 Build</w:t>
            </w:r>
          </w:p>
        </w:tc>
        <w:tc>
          <w:tcPr>
            <w:tcW w:type="dxa" w:w="2493"/>
          </w:tcPr>
          <w:p>
            <w:r>
              <w:rPr>
                <w:b w:val="0"/>
                <w:sz w:val="17"/>
              </w:rPr>
            </w:r>
            <w:r>
              <w:rPr>
                <w:b w:val="0"/>
                <w:i w:val="0"/>
                <w:sz w:val="17"/>
              </w:rPr>
              <w:t>Methods A, B and C; maker-checker; differences first; locked periods never restated; ECL columns untouched</w:t>
            </w:r>
          </w:p>
        </w:tc>
        <w:tc>
          <w:tcPr>
            <w:tcW w:type="dxa" w:w="2493"/>
          </w:tcPr>
          <w:p>
            <w:r>
              <w:rPr>
                <w:b w:val="0"/>
                <w:sz w:val="17"/>
              </w:rPr>
            </w:r>
            <w:r>
              <w:rPr>
                <w:b w:val="0"/>
                <w:i w:val="0"/>
                <w:sz w:val="17"/>
              </w:rPr>
              <w:t>Yes</w:t>
            </w:r>
          </w:p>
        </w:tc>
        <w:tc>
          <w:tcPr>
            <w:tcW w:type="dxa" w:w="2493"/>
          </w:tcPr>
          <w:p>
            <w:r>
              <w:rPr>
                <w:b w:val="0"/>
                <w:sz w:val="17"/>
              </w:rPr>
            </w:r>
            <w:r>
              <w:rPr>
                <w:rFonts w:ascii="Consolas" w:hAnsi="Consolas"/>
                <w:b w:val="0"/>
                <w:i w:val="0"/>
                <w:sz w:val="17"/>
              </w:rPr>
              <w:t>LoanBookBuildService</w:t>
            </w:r>
            <w:r>
              <w:rPr>
                <w:b w:val="0"/>
                <w:i w:val="0"/>
                <w:sz w:val="17"/>
              </w:rPr>
              <w:t xml:space="preserve">, </w:t>
            </w:r>
            <w:r>
              <w:rPr>
                <w:rFonts w:ascii="Consolas" w:hAnsi="Consolas"/>
                <w:b w:val="0"/>
                <w:i w:val="0"/>
                <w:sz w:val="17"/>
              </w:rPr>
              <w:t>eir:build-loan-books</w:t>
            </w:r>
            <w:r>
              <w:rPr>
                <w:b w:val="0"/>
                <w:i w:val="0"/>
                <w:sz w:val="17"/>
              </w:rPr>
              <w:t xml:space="preserve">, </w:t>
            </w:r>
            <w:r>
              <w:rPr>
                <w:rFonts w:ascii="Consolas" w:hAnsi="Consolas"/>
                <w:b w:val="0"/>
                <w:i w:val="0"/>
                <w:sz w:val="17"/>
              </w:rPr>
              <w:t>eir:lock-period</w:t>
            </w:r>
            <w:r>
              <w:rPr>
                <w:b w:val="0"/>
                <w:i w:val="0"/>
                <w:sz w:val="17"/>
              </w:rPr>
              <w:t>, 11 tests</w:t>
            </w:r>
          </w:p>
        </w:tc>
      </w:tr>
      <w:tr>
        <w:tc>
          <w:tcPr>
            <w:tcW w:type="dxa" w:w="2493"/>
          </w:tcPr>
          <w:p>
            <w:r>
              <w:rPr>
                <w:b w:val="0"/>
                <w:sz w:val="17"/>
              </w:rPr>
            </w:r>
            <w:r>
              <w:rPr>
                <w:b w:val="0"/>
                <w:i w:val="0"/>
                <w:sz w:val="17"/>
              </w:rPr>
              <w:t>6.7 History</w:t>
            </w:r>
          </w:p>
        </w:tc>
        <w:tc>
          <w:tcPr>
            <w:tcW w:type="dxa" w:w="2493"/>
          </w:tcPr>
          <w:p>
            <w:r>
              <w:rPr>
                <w:b w:val="0"/>
                <w:sz w:val="17"/>
              </w:rPr>
            </w:r>
            <w:r>
              <w:rPr>
                <w:b w:val="0"/>
                <w:i w:val="0"/>
                <w:sz w:val="17"/>
              </w:rPr>
              <w:t>Built on a copy by A then B and compared</w:t>
            </w:r>
          </w:p>
        </w:tc>
        <w:tc>
          <w:tcPr>
            <w:tcW w:type="dxa" w:w="2493"/>
          </w:tcPr>
          <w:p>
            <w:r>
              <w:rPr>
                <w:b w:val="0"/>
                <w:sz w:val="17"/>
              </w:rPr>
            </w:r>
            <w:r>
              <w:rPr>
                <w:b w:val="0"/>
                <w:i w:val="0"/>
                <w:sz w:val="17"/>
              </w:rPr>
              <w:t>Yes: B equals the stored report to the cent on every account-month but one (1 cent)</w:t>
            </w:r>
          </w:p>
        </w:tc>
        <w:tc>
          <w:tcPr>
            <w:tcW w:type="dxa" w:w="2493"/>
          </w:tcPr>
          <w:p>
            <w:r>
              <w:rPr>
                <w:b w:val="0"/>
                <w:sz w:val="17"/>
              </w:rPr>
            </w:r>
            <w:r>
              <w:rPr>
                <w:b w:val="0"/>
                <w:i w:val="0"/>
                <w:sz w:val="17"/>
              </w:rPr>
              <w:t>the bootstrap's verify</w:t>
            </w:r>
          </w:p>
        </w:tc>
      </w:tr>
      <w:tr>
        <w:tc>
          <w:tcPr>
            <w:tcW w:type="dxa" w:w="2493"/>
          </w:tcPr>
          <w:p>
            <w:r>
              <w:rPr>
                <w:b w:val="0"/>
                <w:sz w:val="17"/>
              </w:rPr>
            </w:r>
            <w:r>
              <w:rPr>
                <w:b w:val="0"/>
                <w:i w:val="0"/>
                <w:sz w:val="17"/>
              </w:rPr>
              <w:t>6.8 Feed screen</w:t>
            </w:r>
          </w:p>
        </w:tc>
        <w:tc>
          <w:tcPr>
            <w:tcW w:type="dxa" w:w="2493"/>
          </w:tcPr>
          <w:p>
            <w:r>
              <w:rPr>
                <w:b w:val="0"/>
                <w:sz w:val="17"/>
              </w:rPr>
            </w:r>
            <w:r>
              <w:rPr>
                <w:b w:val="0"/>
                <w:i w:val="0"/>
                <w:sz w:val="17"/>
              </w:rPr>
              <w:t>Queries, loads, watermarks, quarantine, build with approval</w:t>
            </w:r>
          </w:p>
        </w:tc>
        <w:tc>
          <w:tcPr>
            <w:tcW w:type="dxa" w:w="2493"/>
          </w:tcPr>
          <w:p>
            <w:r>
              <w:rPr>
                <w:b w:val="0"/>
                <w:sz w:val="17"/>
              </w:rPr>
            </w:r>
            <w:r>
              <w:rPr>
                <w:b w:val="0"/>
                <w:i w:val="0"/>
                <w:sz w:val="17"/>
              </w:rPr>
              <w:t>Yes</w:t>
            </w:r>
          </w:p>
        </w:tc>
        <w:tc>
          <w:tcPr>
            <w:tcW w:type="dxa" w:w="2493"/>
          </w:tcPr>
          <w:p>
            <w:r>
              <w:rPr>
                <w:b w:val="0"/>
                <w:sz w:val="17"/>
              </w:rPr>
            </w:r>
            <w:r>
              <w:rPr>
                <w:rFonts w:ascii="Consolas" w:hAnsi="Consolas"/>
                <w:b w:val="0"/>
                <w:i w:val="0"/>
                <w:sz w:val="17"/>
              </w:rPr>
              <w:t>EirFeedController</w:t>
            </w:r>
            <w:r>
              <w:rPr>
                <w:b w:val="0"/>
                <w:i w:val="0"/>
                <w:sz w:val="17"/>
              </w:rPr>
              <w:t xml:space="preserve">, </w:t>
            </w:r>
            <w:r>
              <w:rPr>
                <w:rFonts w:ascii="Consolas" w:hAnsi="Consolas"/>
                <w:b w:val="0"/>
                <w:i w:val="0"/>
                <w:sz w:val="17"/>
              </w:rPr>
              <w:t>Pages/Eir/Feed/Index.vue</w:t>
            </w:r>
          </w:p>
        </w:tc>
      </w:tr>
      <w:tr>
        <w:tc>
          <w:tcPr>
            <w:tcW w:type="dxa" w:w="2493"/>
          </w:tcPr>
          <w:p>
            <w:r>
              <w:rPr>
                <w:b w:val="0"/>
                <w:sz w:val="17"/>
              </w:rPr>
            </w:r>
            <w:r>
              <w:rPr>
                <w:b w:val="0"/>
                <w:i w:val="0"/>
                <w:sz w:val="17"/>
              </w:rPr>
              <w:t>6.9 Take-on</w:t>
            </w:r>
          </w:p>
        </w:tc>
        <w:tc>
          <w:tcPr>
            <w:tcW w:type="dxa" w:w="2493"/>
          </w:tcPr>
          <w:p>
            <w:r>
              <w:rPr>
                <w:b w:val="0"/>
                <w:sz w:val="17"/>
              </w:rPr>
            </w:r>
            <w:r>
              <w:rPr>
                <w:b w:val="0"/>
                <w:i w:val="0"/>
                <w:sz w:val="17"/>
              </w:rPr>
              <w:t xml:space="preserve">Landed not typed; blocks and lines with cells; gates; the build under </w:t>
            </w:r>
            <w:r>
              <w:rPr>
                <w:rFonts w:ascii="Consolas" w:hAnsi="Consolas"/>
                <w:b w:val="0"/>
                <w:i w:val="0"/>
                <w:sz w:val="17"/>
              </w:rPr>
              <w:t>takeon_history_basis</w:t>
            </w:r>
            <w:r>
              <w:rPr>
                <w:b w:val="0"/>
                <w:i w:val="0"/>
                <w:sz w:val="17"/>
              </w:rPr>
              <w:t>; the screen with confirm and fees</w:t>
            </w:r>
          </w:p>
        </w:tc>
        <w:tc>
          <w:tcPr>
            <w:tcW w:type="dxa" w:w="2493"/>
          </w:tcPr>
          <w:p>
            <w:r>
              <w:rPr>
                <w:b w:val="0"/>
                <w:sz w:val="17"/>
              </w:rPr>
            </w:r>
            <w:r>
              <w:rPr>
                <w:b w:val="0"/>
                <w:i w:val="0"/>
                <w:sz w:val="17"/>
              </w:rPr>
              <w:t>Yes</w:t>
            </w:r>
          </w:p>
        </w:tc>
        <w:tc>
          <w:tcPr>
            <w:tcW w:type="dxa" w:w="2493"/>
          </w:tcPr>
          <w:p>
            <w:r>
              <w:rPr>
                <w:b w:val="0"/>
                <w:sz w:val="17"/>
              </w:rPr>
            </w:r>
            <w:r>
              <w:rPr>
                <w:rFonts w:ascii="Consolas" w:hAnsi="Consolas"/>
                <w:b w:val="0"/>
                <w:i w:val="0"/>
                <w:sz w:val="17"/>
              </w:rPr>
              <w:t>TakeonLandingService</w:t>
            </w:r>
            <w:r>
              <w:rPr>
                <w:b w:val="0"/>
                <w:i w:val="0"/>
                <w:sz w:val="17"/>
              </w:rPr>
              <w:t xml:space="preserve">, </w:t>
            </w:r>
            <w:r>
              <w:rPr>
                <w:rFonts w:ascii="Consolas" w:hAnsi="Consolas"/>
                <w:b w:val="0"/>
                <w:i w:val="0"/>
                <w:sz w:val="17"/>
              </w:rPr>
              <w:t>eir:land-takeon</w:t>
            </w:r>
            <w:r>
              <w:rPr>
                <w:b w:val="0"/>
                <w:i w:val="0"/>
                <w:sz w:val="17"/>
              </w:rPr>
              <w:t xml:space="preserve">, </w:t>
            </w:r>
            <w:r>
              <w:rPr>
                <w:rFonts w:ascii="Consolas" w:hAnsi="Consolas"/>
                <w:b w:val="0"/>
                <w:i w:val="0"/>
                <w:sz w:val="17"/>
              </w:rPr>
              <w:t>EirTakeonController</w:t>
            </w:r>
            <w:r>
              <w:rPr>
                <w:b w:val="0"/>
                <w:i w:val="0"/>
                <w:sz w:val="17"/>
              </w:rPr>
              <w:t>, 3 tests</w:t>
            </w:r>
          </w:p>
        </w:tc>
      </w:tr>
      <w:tr>
        <w:tc>
          <w:tcPr>
            <w:tcW w:type="dxa" w:w="2493"/>
          </w:tcPr>
          <w:p>
            <w:r>
              <w:rPr>
                <w:b w:val="0"/>
                <w:sz w:val="17"/>
              </w:rPr>
            </w:r>
            <w:r>
              <w:rPr>
                <w:b w:val="0"/>
                <w:i w:val="0"/>
                <w:sz w:val="17"/>
              </w:rPr>
              <w:t>6.10 Bootstrap</w:t>
            </w:r>
          </w:p>
        </w:tc>
        <w:tc>
          <w:tcPr>
            <w:tcW w:type="dxa" w:w="2493"/>
          </w:tcPr>
          <w:p>
            <w:r>
              <w:rPr>
                <w:b w:val="0"/>
                <w:sz w:val="17"/>
              </w:rPr>
            </w:r>
            <w:r>
              <w:rPr>
                <w:b w:val="0"/>
                <w:i w:val="0"/>
                <w:sz w:val="17"/>
              </w:rPr>
              <w:t>One command: fresh, seed, land, build, engines, verify</w:t>
            </w:r>
          </w:p>
        </w:tc>
        <w:tc>
          <w:tcPr>
            <w:tcW w:type="dxa" w:w="2493"/>
          </w:tcPr>
          <w:p>
            <w:r>
              <w:rPr>
                <w:b w:val="0"/>
                <w:sz w:val="17"/>
              </w:rPr>
            </w:r>
            <w:r>
              <w:rPr>
                <w:b w:val="0"/>
                <w:i w:val="0"/>
                <w:sz w:val="17"/>
              </w:rPr>
              <w:t>Yes</w:t>
            </w:r>
          </w:p>
        </w:tc>
        <w:tc>
          <w:tcPr>
            <w:tcW w:type="dxa" w:w="2493"/>
          </w:tcPr>
          <w:p>
            <w:r>
              <w:rPr>
                <w:b w:val="0"/>
                <w:sz w:val="17"/>
              </w:rPr>
            </w:r>
            <w:r>
              <w:rPr>
                <w:rFonts w:ascii="Consolas" w:hAnsi="Consolas"/>
                <w:b w:val="0"/>
                <w:i w:val="0"/>
                <w:sz w:val="17"/>
              </w:rPr>
              <w:t>eir:bootstrap</w:t>
            </w:r>
          </w:p>
        </w:tc>
      </w:tr>
      <w:tr>
        <w:tc>
          <w:tcPr>
            <w:tcW w:type="dxa" w:w="2493"/>
          </w:tcPr>
          <w:p>
            <w:r>
              <w:rPr>
                <w:b w:val="0"/>
                <w:sz w:val="17"/>
              </w:rPr>
            </w:r>
            <w:r>
              <w:rPr>
                <w:b w:val="0"/>
                <w:i w:val="0"/>
                <w:sz w:val="17"/>
              </w:rPr>
              <w:t>6.10.1 Engine chain</w:t>
            </w:r>
          </w:p>
        </w:tc>
        <w:tc>
          <w:tcPr>
            <w:tcW w:type="dxa" w:w="2493"/>
          </w:tcPr>
          <w:p>
            <w:r>
              <w:rPr>
                <w:b w:val="0"/>
                <w:sz w:val="17"/>
              </w:rPr>
            </w:r>
            <w:r>
              <w:rPr>
                <w:b w:val="0"/>
                <w:i w:val="0"/>
                <w:sz w:val="17"/>
              </w:rPr>
              <w:t>Twelve engines in dependency order</w:t>
            </w:r>
          </w:p>
        </w:tc>
        <w:tc>
          <w:tcPr>
            <w:tcW w:type="dxa" w:w="2493"/>
          </w:tcPr>
          <w:p>
            <w:r>
              <w:rPr>
                <w:b w:val="0"/>
                <w:sz w:val="17"/>
              </w:rPr>
            </w:r>
            <w:r>
              <w:rPr>
                <w:b w:val="0"/>
                <w:i w:val="0"/>
                <w:sz w:val="17"/>
              </w:rPr>
              <w:t>Steps 1 (macro), 2 (scenario set), 3 (staging), 4 (PD transition matrix), 5 (LGD cohort workout), 6 (forward-looking chain), 7 (ECL), 8 and 9 (EIR), 10 (reconciliation) run; 11 (stress) and 12 (reports and workbooks) remain the screens'</w:t>
            </w:r>
          </w:p>
        </w:tc>
        <w:tc>
          <w:tcPr>
            <w:tcW w:type="dxa" w:w="2493"/>
          </w:tcPr>
          <w:p>
            <w:r>
              <w:rPr>
                <w:b w:val="0"/>
                <w:sz w:val="17"/>
              </w:rPr>
            </w:r>
            <w:r>
              <w:rPr>
                <w:rFonts w:ascii="Consolas" w:hAnsi="Consolas"/>
                <w:b w:val="0"/>
                <w:i w:val="0"/>
                <w:sz w:val="17"/>
              </w:rPr>
              <w:t>Bootstrap::stepEngines</w:t>
            </w:r>
            <w:r>
              <w:rPr>
                <w:b w:val="0"/>
                <w:i w:val="0"/>
                <w:sz w:val="17"/>
              </w:rPr>
              <w:t xml:space="preserve">, </w:t>
            </w:r>
            <w:r>
              <w:rPr>
                <w:rFonts w:ascii="Consolas" w:hAnsi="Consolas"/>
                <w:b w:val="0"/>
                <w:i w:val="0"/>
                <w:sz w:val="17"/>
              </w:rPr>
              <w:t>PdEngineService</w:t>
            </w:r>
            <w:r>
              <w:rPr>
                <w:b w:val="0"/>
                <w:i w:val="0"/>
                <w:sz w:val="17"/>
              </w:rPr>
              <w:t xml:space="preserve">, </w:t>
            </w:r>
            <w:r>
              <w:rPr>
                <w:rFonts w:ascii="Consolas" w:hAnsi="Consolas"/>
                <w:b w:val="0"/>
                <w:i w:val="0"/>
                <w:sz w:val="17"/>
              </w:rPr>
              <w:t>LgdEngineService</w:t>
            </w:r>
          </w:p>
        </w:tc>
      </w:tr>
      <w:tr>
        <w:tc>
          <w:tcPr>
            <w:tcW w:type="dxa" w:w="2493"/>
          </w:tcPr>
          <w:p>
            <w:r>
              <w:rPr>
                <w:b w:val="0"/>
                <w:sz w:val="17"/>
              </w:rPr>
            </w:r>
            <w:r>
              <w:rPr>
                <w:b w:val="0"/>
                <w:i w:val="0"/>
                <w:sz w:val="17"/>
              </w:rPr>
              <w:t>6.10.2 Golden numbers</w:t>
            </w:r>
          </w:p>
        </w:tc>
        <w:tc>
          <w:tcPr>
            <w:tcW w:type="dxa" w:w="2493"/>
          </w:tcPr>
          <w:p>
            <w:r>
              <w:rPr>
                <w:b w:val="0"/>
                <w:sz w:val="17"/>
              </w:rPr>
            </w:r>
            <w:r>
              <w:rPr>
                <w:b w:val="0"/>
                <w:i w:val="0"/>
                <w:sz w:val="17"/>
              </w:rPr>
              <w:t>The section 9 baselines and the year-end ties</w:t>
            </w:r>
          </w:p>
        </w:tc>
        <w:tc>
          <w:tcPr>
            <w:tcW w:type="dxa" w:w="2493"/>
          </w:tcPr>
          <w:p>
            <w:r>
              <w:rPr>
                <w:b w:val="0"/>
                <w:sz w:val="17"/>
              </w:rPr>
            </w:r>
            <w:r>
              <w:rPr>
                <w:b w:val="0"/>
                <w:i w:val="0"/>
                <w:sz w:val="17"/>
              </w:rPr>
              <w:t>Nine checks, all PASS</w:t>
            </w:r>
          </w:p>
        </w:tc>
        <w:tc>
          <w:tcPr>
            <w:tcW w:type="dxa" w:w="2493"/>
          </w:tcPr>
          <w:p>
            <w:r>
              <w:rPr>
                <w:b w:val="0"/>
                <w:sz w:val="17"/>
              </w:rPr>
            </w:r>
            <w:r>
              <w:rPr>
                <w:rFonts w:ascii="Consolas" w:hAnsi="Consolas"/>
                <w:b w:val="0"/>
                <w:i w:val="0"/>
                <w:sz w:val="17"/>
              </w:rPr>
              <w:t>Bootstrap::stepVerify</w:t>
            </w:r>
          </w:p>
        </w:tc>
      </w:tr>
      <w:tr>
        <w:tc>
          <w:tcPr>
            <w:tcW w:type="dxa" w:w="2493"/>
          </w:tcPr>
          <w:p>
            <w:r>
              <w:rPr>
                <w:b w:val="0"/>
                <w:sz w:val="17"/>
              </w:rPr>
            </w:r>
            <w:r>
              <w:rPr>
                <w:b w:val="0"/>
                <w:i w:val="0"/>
                <w:sz w:val="17"/>
              </w:rPr>
              <w:t>6.11 As at any date</w:t>
            </w:r>
          </w:p>
        </w:tc>
        <w:tc>
          <w:tcPr>
            <w:tcW w:type="dxa" w:w="2493"/>
          </w:tcPr>
          <w:p>
            <w:r>
              <w:rPr>
                <w:b w:val="0"/>
                <w:sz w:val="17"/>
              </w:rPr>
            </w:r>
            <w:r>
              <w:rPr>
                <w:b w:val="0"/>
                <w:i w:val="0"/>
                <w:sz w:val="17"/>
              </w:rPr>
              <w:t>The EIR computation for a loan or the book at any date; refused after the last posting</w:t>
            </w:r>
          </w:p>
        </w:tc>
        <w:tc>
          <w:tcPr>
            <w:tcW w:type="dxa" w:w="2493"/>
          </w:tcPr>
          <w:p>
            <w:r>
              <w:rPr>
                <w:b w:val="0"/>
                <w:sz w:val="17"/>
              </w:rPr>
            </w:r>
            <w:r>
              <w:rPr>
                <w:b w:val="0"/>
                <w:i w:val="0"/>
                <w:sz w:val="17"/>
              </w:rPr>
              <w:t>Yes</w:t>
            </w:r>
          </w:p>
        </w:tc>
        <w:tc>
          <w:tcPr>
            <w:tcW w:type="dxa" w:w="2493"/>
          </w:tcPr>
          <w:p>
            <w:r>
              <w:rPr>
                <w:b w:val="0"/>
                <w:sz w:val="17"/>
              </w:rPr>
            </w:r>
            <w:r>
              <w:rPr>
                <w:rFonts w:ascii="Consolas" w:hAnsi="Consolas"/>
                <w:b w:val="0"/>
                <w:i w:val="0"/>
                <w:sz w:val="17"/>
              </w:rPr>
              <w:t>EirAsAtService</w:t>
            </w:r>
            <w:r>
              <w:rPr>
                <w:b w:val="0"/>
                <w:i w:val="0"/>
                <w:sz w:val="17"/>
              </w:rPr>
              <w:t xml:space="preserve">, </w:t>
            </w:r>
            <w:r>
              <w:rPr>
                <w:rFonts w:ascii="Consolas" w:hAnsi="Consolas"/>
                <w:b w:val="0"/>
                <w:i w:val="0"/>
                <w:sz w:val="17"/>
              </w:rPr>
              <w:t>eir:as-at</w:t>
            </w:r>
            <w:r>
              <w:rPr>
                <w:b w:val="0"/>
                <w:i w:val="0"/>
                <w:sz w:val="17"/>
              </w:rPr>
              <w:t xml:space="preserve">, </w:t>
            </w:r>
            <w:r>
              <w:rPr>
                <w:rFonts w:ascii="Consolas" w:hAnsi="Consolas"/>
                <w:b w:val="0"/>
                <w:i w:val="0"/>
                <w:sz w:val="17"/>
              </w:rPr>
              <w:t>EirAsAtController</w:t>
            </w:r>
            <w:r>
              <w:rPr>
                <w:b w:val="0"/>
                <w:i w:val="0"/>
                <w:sz w:val="17"/>
              </w:rPr>
              <w:t>, 4 tests</w:t>
            </w:r>
          </w:p>
        </w:tc>
      </w:tr>
      <w:tr>
        <w:tc>
          <w:tcPr>
            <w:tcW w:type="dxa" w:w="2493"/>
          </w:tcPr>
          <w:p>
            <w:r>
              <w:rPr>
                <w:b w:val="0"/>
                <w:sz w:val="17"/>
              </w:rPr>
            </w:r>
            <w:r>
              <w:rPr>
                <w:b w:val="0"/>
                <w:i w:val="0"/>
                <w:sz w:val="17"/>
              </w:rPr>
              <w:t>7.1 Ledger importer</w:t>
            </w:r>
          </w:p>
        </w:tc>
        <w:tc>
          <w:tcPr>
            <w:tcW w:type="dxa" w:w="2493"/>
          </w:tcPr>
          <w:p>
            <w:r>
              <w:rPr>
                <w:b w:val="0"/>
                <w:sz w:val="17"/>
              </w:rPr>
            </w:r>
            <w:r>
              <w:rPr>
                <w:b w:val="0"/>
                <w:i w:val="0"/>
                <w:sz w:val="17"/>
              </w:rPr>
              <w:t>The ledger as the primary record: interest posted and cash movements from it</w:t>
            </w:r>
          </w:p>
        </w:tc>
        <w:tc>
          <w:tcPr>
            <w:tcW w:type="dxa" w:w="2493"/>
          </w:tcPr>
          <w:p>
            <w:r>
              <w:rPr>
                <w:b w:val="0"/>
                <w:sz w:val="17"/>
              </w:rPr>
            </w:r>
            <w:r>
              <w:rPr>
                <w:b w:val="0"/>
                <w:i w:val="0"/>
                <w:sz w:val="17"/>
              </w:rPr>
              <w:t>Yes: interest per account-month (retiring Extract C) and the cash movements as actual transactions (retiring Extract B)</w:t>
            </w:r>
          </w:p>
        </w:tc>
        <w:tc>
          <w:tcPr>
            <w:tcW w:type="dxa" w:w="2493"/>
          </w:tcPr>
          <w:p>
            <w:r>
              <w:rPr>
                <w:b w:val="0"/>
                <w:sz w:val="17"/>
              </w:rPr>
            </w:r>
            <w:r>
              <w:rPr>
                <w:rFonts w:ascii="Consolas" w:hAnsi="Consolas"/>
                <w:b w:val="0"/>
                <w:i w:val="0"/>
                <w:sz w:val="17"/>
              </w:rPr>
              <w:t>ContractInputsBuildService</w:t>
            </w:r>
          </w:p>
        </w:tc>
      </w:tr>
      <w:tr>
        <w:tc>
          <w:tcPr>
            <w:tcW w:type="dxa" w:w="2493"/>
          </w:tcPr>
          <w:p>
            <w:r>
              <w:rPr>
                <w:b w:val="0"/>
                <w:sz w:val="17"/>
              </w:rPr>
            </w:r>
            <w:r>
              <w:rPr>
                <w:b w:val="0"/>
                <w:i w:val="0"/>
                <w:sz w:val="17"/>
              </w:rPr>
              <w:t>7.2 to 7.4</w:t>
            </w:r>
          </w:p>
        </w:tc>
        <w:tc>
          <w:tcPr>
            <w:tcW w:type="dxa" w:w="2493"/>
          </w:tcPr>
          <w:p>
            <w:r>
              <w:rPr>
                <w:b w:val="0"/>
                <w:sz w:val="17"/>
              </w:rPr>
            </w:r>
            <w:r>
              <w:rPr>
                <w:b w:val="0"/>
                <w:i w:val="0"/>
                <w:sz w:val="17"/>
              </w:rPr>
              <w:t>Rate history, contract master, fees from E-Banker's tables</w:t>
            </w:r>
          </w:p>
        </w:tc>
        <w:tc>
          <w:tcPr>
            <w:tcW w:type="dxa" w:w="2493"/>
          </w:tcPr>
          <w:p>
            <w:r>
              <w:rPr>
                <w:b w:val="0"/>
                <w:sz w:val="17"/>
              </w:rPr>
            </w:r>
            <w:r>
              <w:rPr>
                <w:b w:val="0"/>
                <w:i w:val="0"/>
                <w:sz w:val="17"/>
              </w:rPr>
              <w:t>Yes, through the importers that already exist</w:t>
            </w:r>
          </w:p>
        </w:tc>
        <w:tc>
          <w:tcPr>
            <w:tcW w:type="dxa" w:w="2493"/>
          </w:tcPr>
          <w:p>
            <w:r>
              <w:rPr>
                <w:b w:val="0"/>
                <w:sz w:val="17"/>
              </w:rPr>
            </w:r>
            <w:r>
              <w:rPr>
                <w:rFonts w:ascii="Consolas" w:hAnsi="Consolas"/>
                <w:b w:val="0"/>
                <w:i w:val="0"/>
                <w:sz w:val="17"/>
              </w:rPr>
              <w:t>ContractInputsBuildService</w:t>
            </w:r>
          </w:p>
        </w:tc>
      </w:tr>
      <w:tr>
        <w:tc>
          <w:tcPr>
            <w:tcW w:type="dxa" w:w="2493"/>
          </w:tcPr>
          <w:p>
            <w:r>
              <w:rPr>
                <w:b w:val="0"/>
                <w:sz w:val="17"/>
              </w:rPr>
            </w:r>
            <w:r>
              <w:rPr>
                <w:b w:val="0"/>
                <w:i w:val="0"/>
                <w:sz w:val="17"/>
              </w:rPr>
              <w:t>11 Suite layout</w:t>
            </w:r>
          </w:p>
        </w:tc>
        <w:tc>
          <w:tcPr>
            <w:tcW w:type="dxa" w:w="2493"/>
          </w:tcPr>
          <w:p>
            <w:r>
              <w:rPr>
                <w:b w:val="0"/>
                <w:sz w:val="17"/>
              </w:rPr>
            </w:r>
            <w:r>
              <w:rPr>
                <w:b w:val="0"/>
                <w:i w:val="0"/>
                <w:sz w:val="17"/>
              </w:rPr>
              <w:t>Six groups with accents, rail, top bar, page header with breadcrumb, light and dark</w:t>
            </w:r>
          </w:p>
        </w:tc>
        <w:tc>
          <w:tcPr>
            <w:tcW w:type="dxa" w:w="2493"/>
          </w:tcPr>
          <w:p>
            <w:r>
              <w:rPr>
                <w:b w:val="0"/>
                <w:sz w:val="17"/>
              </w:rPr>
            </w:r>
            <w:r>
              <w:rPr>
                <w:b w:val="0"/>
                <w:i w:val="0"/>
                <w:sz w:val="17"/>
              </w:rPr>
              <w:t>Shell, shared styles and the tree built; the page-by-page dark sweep (11.9) remains</w:t>
            </w:r>
          </w:p>
        </w:tc>
        <w:tc>
          <w:tcPr>
            <w:tcW w:type="dxa" w:w="2493"/>
          </w:tcPr>
          <w:p>
            <w:r>
              <w:rPr>
                <w:b w:val="0"/>
                <w:sz w:val="17"/>
              </w:rPr>
            </w:r>
            <w:r>
              <w:rPr>
                <w:rFonts w:ascii="Consolas" w:hAnsi="Consolas"/>
                <w:b w:val="0"/>
                <w:i w:val="0"/>
                <w:sz w:val="17"/>
              </w:rPr>
              <w:t>config/menu.php</w:t>
            </w:r>
            <w:r>
              <w:rPr>
                <w:b w:val="0"/>
                <w:i w:val="0"/>
                <w:sz w:val="17"/>
              </w:rPr>
              <w:t xml:space="preserve">, </w:t>
            </w:r>
            <w:r>
              <w:rPr>
                <w:rFonts w:ascii="Consolas" w:hAnsi="Consolas"/>
                <w:b w:val="0"/>
                <w:i w:val="0"/>
                <w:sz w:val="17"/>
              </w:rPr>
              <w:t>AppLayout.vue</w:t>
            </w:r>
            <w:r>
              <w:rPr>
                <w:b w:val="0"/>
                <w:i w:val="0"/>
                <w:sz w:val="17"/>
              </w:rPr>
              <w:t xml:space="preserve">, </w:t>
            </w:r>
            <w:r>
              <w:rPr>
                <w:rFonts w:ascii="Consolas" w:hAnsi="Consolas"/>
                <w:b w:val="0"/>
                <w:i w:val="0"/>
                <w:sz w:val="17"/>
              </w:rPr>
              <w:t>useTheme.js</w:t>
            </w:r>
            <w:r>
              <w:rPr>
                <w:b w:val="0"/>
                <w:i w:val="0"/>
                <w:sz w:val="17"/>
              </w:rPr>
              <w:t xml:space="preserve">, </w:t>
            </w:r>
            <w:r>
              <w:rPr>
                <w:rFonts w:ascii="Consolas" w:hAnsi="Consolas"/>
                <w:b w:val="0"/>
                <w:i w:val="0"/>
                <w:sz w:val="17"/>
              </w:rPr>
              <w:t>NavigationTest</w:t>
            </w:r>
          </w:p>
        </w:tc>
      </w:tr>
      <w:tr>
        <w:tc>
          <w:tcPr>
            <w:tcW w:type="dxa" w:w="2493"/>
          </w:tcPr>
          <w:p>
            <w:r>
              <w:rPr>
                <w:b w:val="0"/>
                <w:sz w:val="17"/>
              </w:rPr>
            </w:r>
            <w:r>
              <w:rPr>
                <w:b w:val="0"/>
                <w:i w:val="0"/>
                <w:sz w:val="17"/>
              </w:rPr>
              <w:t>13 Macro statistics</w:t>
            </w:r>
          </w:p>
        </w:tc>
        <w:tc>
          <w:tcPr>
            <w:tcW w:type="dxa" w:w="2493"/>
          </w:tcPr>
          <w:p>
            <w:r>
              <w:rPr>
                <w:b w:val="0"/>
                <w:sz w:val="17"/>
              </w:rPr>
            </w:r>
            <w:r>
              <w:rPr>
                <w:b w:val="0"/>
                <w:i w:val="0"/>
                <w:sz w:val="17"/>
              </w:rPr>
              <w:t>Codes on the series, World Bank fetcher, batches with provenance, the command with a snapshot</w:t>
            </w:r>
          </w:p>
        </w:tc>
        <w:tc>
          <w:tcPr>
            <w:tcW w:type="dxa" w:w="2493"/>
          </w:tcPr>
          <w:p>
            <w:r>
              <w:rPr>
                <w:b w:val="0"/>
                <w:sz w:val="17"/>
              </w:rPr>
            </w:r>
            <w:r>
              <w:rPr>
                <w:b w:val="0"/>
                <w:i w:val="0"/>
                <w:sz w:val="17"/>
              </w:rPr>
              <w:t>MS-1 to MS-3 built; the IMF WEO parser, the RBM file tab and the five-tab screen remain</w:t>
            </w:r>
          </w:p>
        </w:tc>
        <w:tc>
          <w:tcPr>
            <w:tcW w:type="dxa" w:w="2493"/>
          </w:tcPr>
          <w:p>
            <w:r>
              <w:rPr>
                <w:b w:val="0"/>
                <w:sz w:val="17"/>
              </w:rPr>
            </w:r>
            <w:r>
              <w:rPr>
                <w:rFonts w:ascii="Consolas" w:hAnsi="Consolas"/>
                <w:b w:val="0"/>
                <w:i w:val="0"/>
                <w:sz w:val="17"/>
              </w:rPr>
              <w:t>MacroSeriesSeeder</w:t>
            </w:r>
            <w:r>
              <w:rPr>
                <w:b w:val="0"/>
                <w:i w:val="0"/>
                <w:sz w:val="17"/>
              </w:rPr>
              <w:t xml:space="preserve">, </w:t>
            </w:r>
            <w:r>
              <w:rPr>
                <w:rFonts w:ascii="Consolas" w:hAnsi="Consolas"/>
                <w:b w:val="0"/>
                <w:i w:val="0"/>
                <w:sz w:val="17"/>
              </w:rPr>
              <w:t>WorldBankFetcherService</w:t>
            </w:r>
            <w:r>
              <w:rPr>
                <w:b w:val="0"/>
                <w:i w:val="0"/>
                <w:sz w:val="17"/>
              </w:rPr>
              <w:t xml:space="preserve">, </w:t>
            </w:r>
            <w:r>
              <w:rPr>
                <w:rFonts w:ascii="Consolas" w:hAnsi="Consolas"/>
                <w:b w:val="0"/>
                <w:i w:val="0"/>
                <w:sz w:val="17"/>
              </w:rPr>
              <w:t>MacroImportService</w:t>
            </w:r>
            <w:r>
              <w:rPr>
                <w:b w:val="0"/>
                <w:i w:val="0"/>
                <w:sz w:val="17"/>
              </w:rPr>
              <w:t xml:space="preserve">, </w:t>
            </w:r>
            <w:r>
              <w:rPr>
                <w:rFonts w:ascii="Consolas" w:hAnsi="Consolas"/>
                <w:b w:val="0"/>
                <w:i w:val="0"/>
                <w:sz w:val="17"/>
              </w:rPr>
              <w:t>macro:import-worldbank</w:t>
            </w:r>
          </w:p>
        </w:tc>
      </w:tr>
      <w:tr>
        <w:tc>
          <w:tcPr>
            <w:tcW w:type="dxa" w:w="2493"/>
          </w:tcPr>
          <w:p>
            <w:r>
              <w:rPr>
                <w:b w:val="0"/>
                <w:sz w:val="17"/>
              </w:rPr>
            </w:r>
            <w:r>
              <w:rPr>
                <w:b w:val="0"/>
                <w:i w:val="0"/>
                <w:sz w:val="17"/>
              </w:rPr>
              <w:t>14.7 Transmission methods</w:t>
            </w:r>
          </w:p>
        </w:tc>
        <w:tc>
          <w:tcPr>
            <w:tcW w:type="dxa" w:w="2493"/>
          </w:tcPr>
          <w:p>
            <w:r>
              <w:rPr>
                <w:b w:val="0"/>
                <w:sz w:val="17"/>
              </w:rPr>
            </w:r>
            <w:r>
              <w:rPr>
                <w:b w:val="0"/>
                <w:i w:val="0"/>
                <w:sz w:val="17"/>
              </w:rPr>
              <w:t>Governed methods, each explained with live preconditions and a worked example</w:t>
            </w:r>
          </w:p>
        </w:tc>
        <w:tc>
          <w:tcPr>
            <w:tcW w:type="dxa" w:w="2493"/>
          </w:tcPr>
          <w:p>
            <w:r>
              <w:rPr>
                <w:b w:val="0"/>
                <w:sz w:val="17"/>
              </w:rPr>
            </w:r>
            <w:r>
              <w:rPr>
                <w:b w:val="0"/>
                <w:i w:val="0"/>
                <w:sz w:val="17"/>
              </w:rPr>
              <w:t>Yes</w:t>
            </w:r>
          </w:p>
        </w:tc>
        <w:tc>
          <w:tcPr>
            <w:tcW w:type="dxa" w:w="2493"/>
          </w:tcPr>
          <w:p>
            <w:r>
              <w:rPr>
                <w:b w:val="0"/>
                <w:sz w:val="17"/>
              </w:rPr>
            </w:r>
            <w:r>
              <w:rPr>
                <w:rFonts w:ascii="Consolas" w:hAnsi="Consolas"/>
                <w:b w:val="0"/>
                <w:i w:val="0"/>
                <w:sz w:val="17"/>
              </w:rPr>
              <w:t>TransmissionMethodCatalogue</w:t>
            </w:r>
            <w:r>
              <w:rPr>
                <w:b w:val="0"/>
                <w:i w:val="0"/>
                <w:sz w:val="17"/>
              </w:rPr>
              <w:t xml:space="preserve">, </w:t>
            </w:r>
            <w:r>
              <w:rPr>
                <w:rFonts w:ascii="Consolas" w:hAnsi="Consolas"/>
                <w:b w:val="0"/>
                <w:i w:val="0"/>
                <w:sz w:val="17"/>
              </w:rPr>
              <w:t>fli:method-cards</w:t>
            </w:r>
            <w:r>
              <w:rPr>
                <w:b w:val="0"/>
                <w:i w:val="0"/>
                <w:sz w:val="17"/>
              </w:rPr>
              <w:t>, 4 tests</w:t>
            </w:r>
          </w:p>
        </w:tc>
      </w:tr>
      <w:tr>
        <w:tc>
          <w:tcPr>
            <w:tcW w:type="dxa" w:w="2493"/>
          </w:tcPr>
          <w:p>
            <w:r>
              <w:rPr>
                <w:b w:val="0"/>
                <w:sz w:val="17"/>
              </w:rPr>
            </w:r>
            <w:r>
              <w:rPr>
                <w:b w:val="0"/>
                <w:i w:val="0"/>
                <w:sz w:val="17"/>
              </w:rPr>
              <w:t>14.3 to 14.6 Forward-looking chain</w:t>
            </w:r>
          </w:p>
        </w:tc>
        <w:tc>
          <w:tcPr>
            <w:tcW w:type="dxa" w:w="2493"/>
          </w:tcPr>
          <w:p>
            <w:r>
              <w:rPr>
                <w:b w:val="0"/>
                <w:sz w:val="17"/>
              </w:rPr>
            </w:r>
            <w:r>
              <w:rPr>
                <w:b w:val="0"/>
                <w:i w:val="0"/>
                <w:sz w:val="17"/>
              </w:rPr>
              <w:t>Guardrail, structural events, proxy deriver, profiler, correlation finder, regression</w:t>
            </w:r>
          </w:p>
        </w:tc>
        <w:tc>
          <w:tcPr>
            <w:tcW w:type="dxa" w:w="2493"/>
          </w:tcPr>
          <w:p>
            <w:r>
              <w:rPr>
                <w:b w:val="0"/>
                <w:sz w:val="17"/>
              </w:rPr>
            </w:r>
            <w:r>
              <w:rPr>
                <w:b w:val="0"/>
                <w:i w:val="0"/>
                <w:sz w:val="17"/>
              </w:rPr>
              <w:t xml:space="preserve">Yes: the suite's engines ported as they are over a bridge from MAIIC's tables; </w:t>
            </w:r>
            <w:r>
              <w:rPr>
                <w:rFonts w:ascii="Consolas" w:hAnsi="Consolas"/>
                <w:b w:val="0"/>
                <w:i w:val="0"/>
                <w:sz w:val="17"/>
              </w:rPr>
              <w:t>fli:correlate</w:t>
            </w:r>
          </w:p>
        </w:tc>
        <w:tc>
          <w:tcPr>
            <w:tcW w:type="dxa" w:w="2493"/>
          </w:tcPr>
          <w:p>
            <w:r>
              <w:rPr>
                <w:b w:val="0"/>
                <w:sz w:val="17"/>
              </w:rPr>
            </w:r>
            <w:r>
              <w:rPr>
                <w:rFonts w:ascii="Consolas" w:hAnsi="Consolas"/>
                <w:b w:val="0"/>
                <w:i w:val="0"/>
                <w:sz w:val="17"/>
              </w:rPr>
              <w:t>FliBridgeService</w:t>
            </w:r>
            <w:r>
              <w:rPr>
                <w:b w:val="0"/>
                <w:i w:val="0"/>
                <w:sz w:val="17"/>
              </w:rPr>
              <w:t xml:space="preserve">, </w:t>
            </w:r>
            <w:r>
              <w:rPr>
                <w:rFonts w:ascii="Consolas" w:hAnsi="Consolas"/>
                <w:b w:val="0"/>
                <w:i w:val="0"/>
                <w:sz w:val="17"/>
              </w:rPr>
              <w:t>app/Services/Fli/*</w:t>
            </w:r>
            <w:r>
              <w:rPr>
                <w:b w:val="0"/>
                <w:i w:val="0"/>
                <w:sz w:val="17"/>
              </w:rPr>
              <w:t>, 1 test</w:t>
            </w:r>
          </w:p>
        </w:tc>
      </w:tr>
      <w:tr>
        <w:tc>
          <w:tcPr>
            <w:tcW w:type="dxa" w:w="2493"/>
          </w:tcPr>
          <w:p>
            <w:r>
              <w:rPr>
                <w:b w:val="0"/>
                <w:sz w:val="17"/>
              </w:rPr>
            </w:r>
            <w:r>
              <w:rPr>
                <w:b w:val="0"/>
                <w:i w:val="0"/>
                <w:sz w:val="17"/>
              </w:rPr>
              <w:t>15 Scenario sets</w:t>
            </w:r>
          </w:p>
        </w:tc>
        <w:tc>
          <w:tcPr>
            <w:tcW w:type="dxa" w:w="2493"/>
          </w:tcPr>
          <w:p>
            <w:r>
              <w:rPr>
                <w:b w:val="0"/>
                <w:sz w:val="17"/>
              </w:rPr>
            </w:r>
            <w:r>
              <w:rPr>
                <w:b w:val="0"/>
                <w:i w:val="0"/>
                <w:sz w:val="17"/>
              </w:rPr>
              <w:t>The governed set: rules, shocks on the base, approval, lock, versions, back-test, sensitivity; the first set of 15.8</w:t>
            </w:r>
          </w:p>
        </w:tc>
        <w:tc>
          <w:tcPr>
            <w:tcW w:type="dxa" w:w="2493"/>
          </w:tcPr>
          <w:p>
            <w:r>
              <w:rPr>
                <w:b w:val="0"/>
                <w:sz w:val="17"/>
              </w:rPr>
            </w:r>
            <w:r>
              <w:rPr>
                <w:b w:val="0"/>
                <w:i w:val="0"/>
                <w:sz w:val="17"/>
              </w:rPr>
              <w:t>Yes</w:t>
            </w:r>
          </w:p>
        </w:tc>
        <w:tc>
          <w:tcPr>
            <w:tcW w:type="dxa" w:w="2493"/>
          </w:tcPr>
          <w:p>
            <w:r>
              <w:rPr>
                <w:b w:val="0"/>
                <w:sz w:val="17"/>
              </w:rPr>
            </w:r>
            <w:r>
              <w:rPr>
                <w:rFonts w:ascii="Consolas" w:hAnsi="Consolas"/>
                <w:b w:val="0"/>
                <w:i w:val="0"/>
                <w:sz w:val="17"/>
              </w:rPr>
              <w:t>ScenarioSetService</w:t>
            </w:r>
            <w:r>
              <w:rPr>
                <w:b w:val="0"/>
                <w:i w:val="0"/>
                <w:sz w:val="17"/>
              </w:rPr>
              <w:t xml:space="preserve">, </w:t>
            </w:r>
            <w:r>
              <w:rPr>
                <w:rFonts w:ascii="Consolas" w:hAnsi="Consolas"/>
                <w:b w:val="0"/>
                <w:i w:val="0"/>
                <w:sz w:val="17"/>
              </w:rPr>
              <w:t>scenario:sets</w:t>
            </w:r>
            <w:r>
              <w:rPr>
                <w:b w:val="0"/>
                <w:i w:val="0"/>
                <w:sz w:val="17"/>
              </w:rPr>
              <w:t>, Governance Centre / Scenario Sets, 3 tests</w:t>
            </w:r>
          </w:p>
        </w:tc>
      </w:tr>
      <w:tr>
        <w:tc>
          <w:tcPr>
            <w:tcW w:type="dxa" w:w="2493"/>
          </w:tcPr>
          <w:p>
            <w:r>
              <w:rPr>
                <w:b w:val="0"/>
                <w:sz w:val="17"/>
              </w:rPr>
            </w:r>
            <w:r>
              <w:rPr>
                <w:b w:val="0"/>
                <w:i w:val="0"/>
                <w:sz w:val="17"/>
              </w:rPr>
              <w:t>12 Audit workbooks</w:t>
            </w:r>
          </w:p>
        </w:tc>
        <w:tc>
          <w:tcPr>
            <w:tcW w:type="dxa" w:w="2493"/>
          </w:tcPr>
          <w:p>
            <w:r>
              <w:rPr>
                <w:b w:val="0"/>
                <w:sz w:val="17"/>
              </w:rPr>
            </w:r>
            <w:r>
              <w:rPr>
                <w:b w:val="0"/>
                <w:i w:val="0"/>
                <w:sz w:val="17"/>
              </w:rPr>
              <w:t>The engine with the two columns and the Baselines sheet; the five modules</w:t>
            </w:r>
          </w:p>
        </w:tc>
        <w:tc>
          <w:tcPr>
            <w:tcW w:type="dxa" w:w="2493"/>
          </w:tcPr>
          <w:p>
            <w:r>
              <w:rPr>
                <w:b w:val="0"/>
                <w:sz w:val="17"/>
              </w:rPr>
            </w:r>
            <w:r>
              <w:rPr>
                <w:b w:val="0"/>
                <w:i w:val="0"/>
                <w:sz w:val="17"/>
              </w:rPr>
              <w:t>Engine ported (CA-1); IFRS 9 EIR and impairment modules drafted and built in three formats (CA-2, part of CA-4); the register, trace and pack (CA-3) and three modules remain</w:t>
            </w:r>
          </w:p>
        </w:tc>
        <w:tc>
          <w:tcPr>
            <w:tcW w:type="dxa" w:w="2493"/>
          </w:tcPr>
          <w:p>
            <w:r>
              <w:rPr>
                <w:b w:val="0"/>
                <w:sz w:val="17"/>
              </w:rPr>
            </w:r>
            <w:r>
              <w:rPr>
                <w:rFonts w:ascii="Consolas" w:hAnsi="Consolas"/>
                <w:b w:val="0"/>
                <w:i w:val="0"/>
                <w:sz w:val="17"/>
              </w:rPr>
              <w:t>tools/compliance/</w:t>
            </w:r>
            <w:r>
              <w:rPr>
                <w:b w:val="0"/>
                <w:i w:val="0"/>
                <w:sz w:val="17"/>
              </w:rPr>
              <w:t xml:space="preserve">, </w:t>
            </w:r>
            <w:r>
              <w:rPr>
                <w:rFonts w:ascii="Consolas" w:hAnsi="Consolas"/>
                <w:b w:val="0"/>
                <w:i w:val="0"/>
                <w:sz w:val="17"/>
              </w:rPr>
              <w:t>docs/compliance/</w:t>
            </w:r>
          </w:p>
        </w:tc>
      </w:tr>
      <w:tr>
        <w:tc>
          <w:tcPr>
            <w:tcW w:type="dxa" w:w="2493"/>
          </w:tcPr>
          <w:p>
            <w:r>
              <w:rPr>
                <w:b w:val="0"/>
                <w:sz w:val="17"/>
              </w:rPr>
            </w:r>
            <w:r>
              <w:rPr>
                <w:b w:val="0"/>
                <w:i w:val="0"/>
                <w:sz w:val="17"/>
              </w:rPr>
              <w:t>16 Mega Farm</w:t>
            </w:r>
          </w:p>
        </w:tc>
        <w:tc>
          <w:tcPr>
            <w:tcW w:type="dxa" w:w="2493"/>
          </w:tcPr>
          <w:p>
            <w:r>
              <w:rPr>
                <w:b w:val="0"/>
                <w:sz w:val="17"/>
              </w:rPr>
            </w:r>
            <w:r>
              <w:rPr>
                <w:b w:val="0"/>
                <w:i w:val="0"/>
                <w:sz w:val="17"/>
              </w:rPr>
              <w:t>The programme in the ECL module under D30</w:t>
            </w:r>
          </w:p>
        </w:tc>
        <w:tc>
          <w:tcPr>
            <w:tcW w:type="dxa" w:w="2493"/>
          </w:tcPr>
          <w:p>
            <w:r>
              <w:rPr>
                <w:b w:val="0"/>
                <w:sz w:val="17"/>
              </w:rPr>
            </w:r>
            <w:r>
              <w:rPr>
                <w:b w:val="0"/>
                <w:i w:val="0"/>
                <w:sz w:val="17"/>
              </w:rPr>
              <w:t>Not started; the November 2025 book found (section 4)</w:t>
            </w:r>
          </w:p>
        </w:tc>
        <w:tc>
          <w:tcPr>
            <w:tcW w:type="dxa" w:w="2493"/>
          </w:tcPr>
          <w:p>
            <w:r>
              <w:rPr>
                <w:b w:val="0"/>
                <w:sz w:val="17"/>
              </w:rPr>
            </w:r>
            <w:r>
              <w:rPr>
                <w:b w:val="0"/>
                <w:i w:val="0"/>
                <w:sz w:val="17"/>
              </w:rPr>
              <w:t>section 6</w:t>
            </w:r>
          </w:p>
        </w:tc>
      </w:tr>
    </w:tbl>
    <w:p/>
    <w:p>
      <w:pPr>
        <w:pStyle w:val="Heading2"/>
      </w:pPr>
      <w:r>
        <w:t>3. What the system proved when it ran</w:t>
      </w:r>
    </w:p>
    <w:p>
      <w:pPr>
        <w:spacing w:after="120"/>
      </w:pPr>
      <w:r>
        <w:rPr>
          <w:b w:val="0"/>
          <w:i w:val="0"/>
        </w:rPr>
        <w:t>The bootstrap on the wiped database, 8 October 2026 evening, then the engine chain as completed in the second round (about 90 seconds in all):</w:t>
      </w:r>
    </w:p>
    <w:tbl>
      <w:tblPr>
        <w:tblStyle w:val="TableGrid"/>
        <w:tblW w:type="auto" w:w="0"/>
        <w:tblLook w:firstColumn="1" w:firstRow="1" w:lastColumn="0" w:lastRow="0" w:noHBand="0" w:noVBand="1" w:val="04A0"/>
      </w:tblPr>
      <w:tblGrid>
        <w:gridCol w:w="4986"/>
        <w:gridCol w:w="4986"/>
      </w:tblGrid>
      <w:tr>
        <w:tc>
          <w:tcPr>
            <w:tcW w:type="dxa" w:w="4986"/>
            <w:shd w:val="clear" w:color="auto" w:fill="1B2A41"/>
          </w:tcPr>
          <w:p>
            <w:r>
              <w:rPr>
                <w:b/>
                <w:color w:val="FFFFFF"/>
                <w:sz w:val="17"/>
              </w:rPr>
            </w:r>
            <w:r>
              <w:rPr>
                <w:b/>
                <w:i w:val="0"/>
                <w:color w:val="FFFFFF"/>
                <w:sz w:val="17"/>
              </w:rPr>
              <w:t>Step</w:t>
            </w:r>
          </w:p>
        </w:tc>
        <w:tc>
          <w:tcPr>
            <w:tcW w:type="dxa" w:w="4986"/>
            <w:shd w:val="clear" w:color="auto" w:fill="1B2A41"/>
          </w:tcPr>
          <w:p>
            <w:r>
              <w:rPr>
                <w:b/>
                <w:color w:val="FFFFFF"/>
                <w:sz w:val="17"/>
              </w:rPr>
            </w:r>
            <w:r>
              <w:rPr>
                <w:b/>
                <w:i w:val="0"/>
                <w:color w:val="FFFFFF"/>
                <w:sz w:val="17"/>
              </w:rPr>
              <w:t>Result</w:t>
            </w:r>
          </w:p>
        </w:tc>
      </w:tr>
      <w:tr>
        <w:tc>
          <w:tcPr>
            <w:tcW w:type="dxa" w:w="4986"/>
          </w:tcPr>
          <w:p>
            <w:r>
              <w:rPr>
                <w:b w:val="0"/>
                <w:sz w:val="17"/>
              </w:rPr>
            </w:r>
            <w:r>
              <w:rPr>
                <w:b w:val="0"/>
                <w:i w:val="0"/>
                <w:sz w:val="17"/>
              </w:rPr>
              <w:t>Land the pack</w:t>
            </w:r>
          </w:p>
        </w:tc>
        <w:tc>
          <w:tcPr>
            <w:tcW w:type="dxa" w:w="4986"/>
          </w:tcPr>
          <w:p>
            <w:r>
              <w:rPr>
                <w:b w:val="0"/>
                <w:sz w:val="17"/>
              </w:rPr>
            </w:r>
            <w:r>
              <w:rPr>
                <w:b w:val="0"/>
                <w:i w:val="0"/>
                <w:sz w:val="17"/>
              </w:rPr>
              <w:t>54 files, 86,000 rows, every gate passed; the five accepted exceptions recorded on the load</w:t>
            </w:r>
          </w:p>
        </w:tc>
      </w:tr>
      <w:tr>
        <w:tc>
          <w:tcPr>
            <w:tcW w:type="dxa" w:w="4986"/>
          </w:tcPr>
          <w:p>
            <w:r>
              <w:rPr>
                <w:b w:val="0"/>
                <w:sz w:val="17"/>
              </w:rPr>
            </w:r>
            <w:r>
              <w:rPr>
                <w:b w:val="0"/>
                <w:i w:val="0"/>
                <w:sz w:val="17"/>
              </w:rPr>
              <w:t>Land the take-on workbook</w:t>
            </w:r>
          </w:p>
        </w:tc>
        <w:tc>
          <w:tcPr>
            <w:tcW w:type="dxa" w:w="4986"/>
          </w:tcPr>
          <w:p>
            <w:r>
              <w:rPr>
                <w:b w:val="0"/>
                <w:sz w:val="17"/>
              </w:rPr>
            </w:r>
            <w:r>
              <w:rPr>
                <w:b w:val="0"/>
                <w:i w:val="0"/>
                <w:sz w:val="17"/>
              </w:rPr>
              <w:t>100 blocks, 3,741 lines; 96 mapped, 3 not matched, 1 refused (blocks 34 and 55 both claim account 000104450000036); 64 block principals equal the take-on posting exactly; 96 blocks without a fee row, flagged, never assumed fee-free</w:t>
            </w:r>
          </w:p>
        </w:tc>
      </w:tr>
      <w:tr>
        <w:tc>
          <w:tcPr>
            <w:tcW w:type="dxa" w:w="4986"/>
          </w:tcPr>
          <w:p>
            <w:r>
              <w:rPr>
                <w:b w:val="0"/>
                <w:sz w:val="17"/>
              </w:rPr>
            </w:r>
            <w:r>
              <w:rPr>
                <w:b w:val="0"/>
                <w:i w:val="0"/>
                <w:sz w:val="17"/>
              </w:rPr>
              <w:t>Build the loan books</w:t>
            </w:r>
          </w:p>
        </w:tc>
        <w:tc>
          <w:tcPr>
            <w:tcW w:type="dxa" w:w="4986"/>
          </w:tcPr>
          <w:p>
            <w:r>
              <w:rPr>
                <w:b w:val="0"/>
                <w:sz w:val="17"/>
              </w:rPr>
            </w:r>
            <w:r>
              <w:rPr>
                <w:b w:val="0"/>
                <w:i w:val="0"/>
                <w:sz w:val="17"/>
              </w:rPr>
              <w:t>26 periods, July 2024 to August 2026, by method B: 2,749 rows, 21 flagged (one account one cent off the stored report in every reported month)</w:t>
            </w:r>
          </w:p>
        </w:tc>
      </w:tr>
      <w:tr>
        <w:tc>
          <w:tcPr>
            <w:tcW w:type="dxa" w:w="4986"/>
          </w:tcPr>
          <w:p>
            <w:r>
              <w:rPr>
                <w:b w:val="0"/>
                <w:sz w:val="17"/>
              </w:rPr>
            </w:r>
            <w:r>
              <w:rPr>
                <w:b w:val="0"/>
                <w:i w:val="0"/>
                <w:sz w:val="17"/>
              </w:rPr>
              <w:t>Take-on population</w:t>
            </w:r>
          </w:p>
        </w:tc>
        <w:tc>
          <w:tcPr>
            <w:tcW w:type="dxa" w:w="4986"/>
          </w:tcPr>
          <w:p>
            <w:r>
              <w:rPr>
                <w:b w:val="0"/>
                <w:sz w:val="17"/>
              </w:rPr>
            </w:r>
            <w:r>
              <w:rPr>
                <w:b w:val="0"/>
                <w:i w:val="0"/>
                <w:sz w:val="17"/>
              </w:rPr>
              <w:t>78 accounts E-Banker migrated; all 78 start at the take-on balance because no fees have been supplied</w:t>
            </w:r>
          </w:p>
        </w:tc>
      </w:tr>
      <w:tr>
        <w:tc>
          <w:tcPr>
            <w:tcW w:type="dxa" w:w="4986"/>
          </w:tcPr>
          <w:p>
            <w:r>
              <w:rPr>
                <w:b w:val="0"/>
                <w:sz w:val="17"/>
              </w:rPr>
            </w:r>
            <w:r>
              <w:rPr>
                <w:b w:val="0"/>
                <w:i w:val="0"/>
                <w:sz w:val="17"/>
              </w:rPr>
              <w:t>Contract master</w:t>
            </w:r>
          </w:p>
        </w:tc>
        <w:tc>
          <w:tcPr>
            <w:tcW w:type="dxa" w:w="4986"/>
          </w:tcPr>
          <w:p>
            <w:r>
              <w:rPr>
                <w:b w:val="0"/>
                <w:sz w:val="17"/>
              </w:rPr>
            </w:r>
            <w:r>
              <w:rPr>
                <w:b w:val="0"/>
                <w:i w:val="0"/>
                <w:sz w:val="17"/>
              </w:rPr>
              <w:t>144 created, 35 held (closed before the stored report begins)</w:t>
            </w:r>
          </w:p>
        </w:tc>
      </w:tr>
      <w:tr>
        <w:tc>
          <w:tcPr>
            <w:tcW w:type="dxa" w:w="4986"/>
          </w:tcPr>
          <w:p>
            <w:r>
              <w:rPr>
                <w:b w:val="0"/>
                <w:sz w:val="17"/>
              </w:rPr>
            </w:r>
            <w:r>
              <w:rPr>
                <w:b w:val="0"/>
                <w:i w:val="0"/>
                <w:sz w:val="17"/>
              </w:rPr>
              <w:t>PLR series, fees, interest, cash</w:t>
            </w:r>
          </w:p>
        </w:tc>
        <w:tc>
          <w:tcPr>
            <w:tcW w:type="dxa" w:w="4986"/>
          </w:tcPr>
          <w:p>
            <w:r>
              <w:rPr>
                <w:b w:val="0"/>
                <w:sz w:val="17"/>
              </w:rPr>
            </w:r>
            <w:r>
              <w:rPr>
                <w:b w:val="0"/>
                <w:i w:val="0"/>
                <w:sz w:val="17"/>
              </w:rPr>
              <w:t>48 PLR rows with 26 changes; 87 fee lines (arrangement 206.3 m, legal 136.7 m, other 9.5 m); 2,182 account-months of interest posted; the cash movements as actual transactions</w:t>
            </w:r>
          </w:p>
        </w:tc>
      </w:tr>
      <w:tr>
        <w:tc>
          <w:tcPr>
            <w:tcW w:type="dxa" w:w="4986"/>
          </w:tcPr>
          <w:p>
            <w:r>
              <w:rPr>
                <w:b w:val="0"/>
                <w:sz w:val="17"/>
              </w:rPr>
            </w:r>
            <w:r>
              <w:rPr>
                <w:b w:val="0"/>
                <w:i w:val="0"/>
                <w:sz w:val="17"/>
              </w:rPr>
              <w:t>Schedules and EIR</w:t>
            </w:r>
          </w:p>
        </w:tc>
        <w:tc>
          <w:tcPr>
            <w:tcW w:type="dxa" w:w="4986"/>
          </w:tcPr>
          <w:p>
            <w:r>
              <w:rPr>
                <w:b w:val="0"/>
                <w:sz w:val="17"/>
              </w:rPr>
            </w:r>
            <w:r>
              <w:rPr>
                <w:b w:val="0"/>
                <w:i w:val="0"/>
                <w:sz w:val="17"/>
              </w:rPr>
              <w:t>31 schedules generated and approved under the bootstrap label; 31 EIRs solved; 12 locked; 19 blocked at the fee gate because the rulebook is unapproved</w:t>
            </w:r>
          </w:p>
        </w:tc>
      </w:tr>
      <w:tr>
        <w:tc>
          <w:tcPr>
            <w:tcW w:type="dxa" w:w="4986"/>
          </w:tcPr>
          <w:p>
            <w:r>
              <w:rPr>
                <w:b w:val="0"/>
                <w:sz w:val="17"/>
              </w:rPr>
            </w:r>
            <w:r>
              <w:rPr>
                <w:b w:val="0"/>
                <w:i w:val="0"/>
                <w:sz w:val="17"/>
              </w:rPr>
              <w:t>Revenue</w:t>
            </w:r>
          </w:p>
        </w:tc>
        <w:tc>
          <w:tcPr>
            <w:tcW w:type="dxa" w:w="4986"/>
          </w:tcPr>
          <w:p>
            <w:r>
              <w:rPr>
                <w:b w:val="0"/>
                <w:sz w:val="17"/>
              </w:rPr>
            </w:r>
            <w:r>
              <w:rPr>
                <w:b w:val="0"/>
                <w:i w:val="0"/>
                <w:sz w:val="17"/>
              </w:rPr>
              <w:t>138 roll-forward rows, 12 contracts, January 2025 to August 2026; 107 months take their cash from the ledger</w:t>
            </w:r>
          </w:p>
        </w:tc>
      </w:tr>
      <w:tr>
        <w:tc>
          <w:tcPr>
            <w:tcW w:type="dxa" w:w="4986"/>
          </w:tcPr>
          <w:p>
            <w:r>
              <w:rPr>
                <w:b w:val="0"/>
                <w:sz w:val="17"/>
              </w:rPr>
            </w:r>
            <w:r>
              <w:rPr>
                <w:b w:val="0"/>
                <w:i w:val="0"/>
                <w:sz w:val="17"/>
              </w:rPr>
              <w:t>Staging</w:t>
            </w:r>
          </w:p>
        </w:tc>
        <w:tc>
          <w:tcPr>
            <w:tcW w:type="dxa" w:w="4986"/>
          </w:tcPr>
          <w:p>
            <w:r>
              <w:rPr>
                <w:b w:val="0"/>
                <w:sz w:val="17"/>
              </w:rPr>
            </w:r>
            <w:r>
              <w:rPr>
                <w:b w:val="0"/>
                <w:i w:val="0"/>
                <w:sz w:val="17"/>
              </w:rPr>
              <w:t>26 periods; 1,267 / 454 / 1,028 row-months in Stages 1, 2, 3</w:t>
            </w:r>
          </w:p>
        </w:tc>
      </w:tr>
      <w:tr>
        <w:tc>
          <w:tcPr>
            <w:tcW w:type="dxa" w:w="4986"/>
          </w:tcPr>
          <w:p>
            <w:r>
              <w:rPr>
                <w:b w:val="0"/>
                <w:sz w:val="17"/>
              </w:rPr>
            </w:r>
            <w:r>
              <w:rPr>
                <w:b w:val="0"/>
                <w:i w:val="0"/>
                <w:sz w:val="17"/>
              </w:rPr>
              <w:t>ECL</w:t>
            </w:r>
          </w:p>
        </w:tc>
        <w:tc>
          <w:tcPr>
            <w:tcW w:type="dxa" w:w="4986"/>
          </w:tcPr>
          <w:p>
            <w:r>
              <w:rPr>
                <w:b w:val="0"/>
                <w:sz w:val="17"/>
              </w:rPr>
            </w:r>
            <w:r>
              <w:rPr>
                <w:b w:val="0"/>
                <w:i w:val="0"/>
                <w:sz w:val="17"/>
              </w:rPr>
              <w:t>August 2026 computed on the pre-FLI PD</w:t>
            </w:r>
          </w:p>
        </w:tc>
      </w:tr>
      <w:tr>
        <w:tc>
          <w:tcPr>
            <w:tcW w:type="dxa" w:w="4986"/>
          </w:tcPr>
          <w:p>
            <w:r>
              <w:rPr>
                <w:b w:val="0"/>
                <w:sz w:val="17"/>
              </w:rPr>
            </w:r>
            <w:r>
              <w:rPr>
                <w:b w:val="0"/>
                <w:i w:val="0"/>
                <w:sz w:val="17"/>
              </w:rPr>
              <w:t>PD</w:t>
            </w:r>
          </w:p>
        </w:tc>
        <w:tc>
          <w:tcPr>
            <w:tcW w:type="dxa" w:w="4986"/>
          </w:tcPr>
          <w:p>
            <w:r>
              <w:rPr>
                <w:b w:val="0"/>
                <w:sz w:val="17"/>
              </w:rPr>
            </w:r>
            <w:r>
              <w:rPr>
                <w:b w:val="0"/>
                <w:i w:val="0"/>
                <w:sz w:val="17"/>
              </w:rPr>
              <w:t>Transition matrix over August 2025 to August 2026 (108 transitions): PD to Stage 3 of 35.9% from Stage 1 and 35.2% from Stage 2</w:t>
            </w:r>
          </w:p>
        </w:tc>
      </w:tr>
      <w:tr>
        <w:tc>
          <w:tcPr>
            <w:tcW w:type="dxa" w:w="4986"/>
          </w:tcPr>
          <w:p>
            <w:r>
              <w:rPr>
                <w:b w:val="0"/>
                <w:sz w:val="17"/>
              </w:rPr>
            </w:r>
            <w:r>
              <w:rPr>
                <w:b w:val="0"/>
                <w:i w:val="0"/>
                <w:sz w:val="17"/>
              </w:rPr>
              <w:t>LGD</w:t>
            </w:r>
          </w:p>
        </w:tc>
        <w:tc>
          <w:tcPr>
            <w:tcW w:type="dxa" w:w="4986"/>
          </w:tcPr>
          <w:p>
            <w:r>
              <w:rPr>
                <w:b w:val="0"/>
                <w:sz w:val="17"/>
              </w:rPr>
            </w:r>
            <w:r>
              <w:rPr>
                <w:b w:val="0"/>
                <w:i w:val="0"/>
                <w:sz w:val="17"/>
              </w:rPr>
              <w:t>Cohort of 41 Stage 3 loans (4.12bn) followed twelve months: cure 21.2%, recovery 23.5%, LGD 60.25%</w:t>
            </w:r>
          </w:p>
        </w:tc>
      </w:tr>
      <w:tr>
        <w:tc>
          <w:tcPr>
            <w:tcW w:type="dxa" w:w="4986"/>
          </w:tcPr>
          <w:p>
            <w:r>
              <w:rPr>
                <w:b w:val="0"/>
                <w:sz w:val="17"/>
              </w:rPr>
            </w:r>
            <w:r>
              <w:rPr>
                <w:b w:val="0"/>
                <w:i w:val="0"/>
                <w:sz w:val="17"/>
              </w:rPr>
              <w:t>ECL, August 2026</w:t>
            </w:r>
          </w:p>
        </w:tc>
        <w:tc>
          <w:tcPr>
            <w:tcW w:type="dxa" w:w="4986"/>
          </w:tcPr>
          <w:p>
            <w:r>
              <w:rPr>
                <w:b w:val="0"/>
                <w:sz w:val="17"/>
              </w:rPr>
            </w:r>
            <w:r>
              <w:rPr>
                <w:b w:val="0"/>
                <w:i w:val="0"/>
                <w:sz w:val="17"/>
              </w:rPr>
              <w:t>8.33bn on 23.32bn gross: Stage 1 1.58bn, Stage 2 1.82bn, Stage 3 4.93bn</w:t>
            </w:r>
          </w:p>
        </w:tc>
      </w:tr>
      <w:tr>
        <w:tc>
          <w:tcPr>
            <w:tcW w:type="dxa" w:w="4986"/>
          </w:tcPr>
          <w:p>
            <w:r>
              <w:rPr>
                <w:b w:val="0"/>
                <w:sz w:val="17"/>
              </w:rPr>
            </w:r>
            <w:r>
              <w:rPr>
                <w:b w:val="0"/>
                <w:i w:val="0"/>
                <w:sz w:val="17"/>
              </w:rPr>
              <w:t>Scenario set</w:t>
            </w:r>
          </w:p>
        </w:tc>
        <w:tc>
          <w:tcPr>
            <w:tcW w:type="dxa" w:w="4986"/>
          </w:tcPr>
          <w:p>
            <w:r>
              <w:rPr>
                <w:b w:val="0"/>
                <w:sz w:val="17"/>
              </w:rPr>
            </w:r>
            <w:r>
              <w:rPr>
                <w:b w:val="0"/>
                <w:i w:val="0"/>
                <w:sz w:val="17"/>
              </w:rPr>
              <w:t>The first set of 15.8 approved under the bootstrap label; sensitivity on 135 loans: base 9.63bn, upside 9.00bn, downside 11.10bn, severe 12.99bn, weighted 10.24bn</w:t>
            </w:r>
          </w:p>
        </w:tc>
      </w:tr>
      <w:tr>
        <w:tc>
          <w:tcPr>
            <w:tcW w:type="dxa" w:w="4986"/>
          </w:tcPr>
          <w:p>
            <w:r>
              <w:rPr>
                <w:b w:val="0"/>
                <w:sz w:val="17"/>
              </w:rPr>
            </w:r>
            <w:r>
              <w:rPr>
                <w:b w:val="0"/>
                <w:i w:val="0"/>
                <w:sz w:val="17"/>
              </w:rPr>
              <w:t>Forward-looking chain</w:t>
            </w:r>
          </w:p>
        </w:tc>
        <w:tc>
          <w:tcPr>
            <w:tcW w:type="dxa" w:w="4986"/>
          </w:tcPr>
          <w:p>
            <w:r>
              <w:rPr>
                <w:b w:val="0"/>
                <w:sz w:val="17"/>
              </w:rPr>
            </w:r>
            <w:r>
              <w:rPr>
                <w:b w:val="0"/>
                <w:i w:val="0"/>
                <w:sz w:val="17"/>
              </w:rPr>
              <w:t>1,045 driver x proxy x lag evaluations; 209 suggestions (55 recommended); 209 fits, 39 applied by the guardrail, 170 declined with reasons</w:t>
            </w:r>
          </w:p>
        </w:tc>
      </w:tr>
      <w:tr>
        <w:tc>
          <w:tcPr>
            <w:tcW w:type="dxa" w:w="4986"/>
          </w:tcPr>
          <w:p>
            <w:r>
              <w:rPr>
                <w:b w:val="0"/>
                <w:sz w:val="17"/>
              </w:rPr>
            </w:r>
            <w:r>
              <w:rPr>
                <w:b w:val="0"/>
                <w:i w:val="0"/>
                <w:sz w:val="17"/>
              </w:rPr>
              <w:t>Verify</w:t>
            </w:r>
          </w:p>
        </w:tc>
        <w:tc>
          <w:tcPr>
            <w:tcW w:type="dxa" w:w="4986"/>
          </w:tcPr>
          <w:p>
            <w:r>
              <w:rPr>
                <w:b w:val="0"/>
                <w:sz w:val="17"/>
              </w:rPr>
            </w:r>
            <w:r>
              <w:rPr>
                <w:b w:val="0"/>
                <w:i w:val="0"/>
                <w:sz w:val="17"/>
              </w:rPr>
              <w:t>9 checks, 0 FAIL (the table in section 3.1)</w:t>
            </w:r>
          </w:p>
        </w:tc>
      </w:tr>
    </w:tbl>
    <w:p/>
    <w:p>
      <w:pPr>
        <w:pStyle w:val="Heading3"/>
      </w:pPr>
      <w:r>
        <w:t>3.1 The golden numbers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2A41"/>
          </w:tcPr>
          <w:p>
            <w:r>
              <w:rPr>
                <w:b/>
                <w:color w:val="FFFFFF"/>
                <w:sz w:val="17"/>
              </w:rPr>
            </w:r>
            <w:r>
              <w:rPr>
                <w:b/>
                <w:i w:val="0"/>
                <w:color w:val="FFFFFF"/>
                <w:sz w:val="17"/>
              </w:rPr>
              <w:t>Check</w:t>
            </w:r>
          </w:p>
        </w:tc>
        <w:tc>
          <w:tcPr>
            <w:tcW w:type="dxa" w:w="2493"/>
            <w:shd w:val="clear" w:color="auto" w:fill="1B2A41"/>
          </w:tcPr>
          <w:p>
            <w:r>
              <w:rPr>
                <w:b/>
                <w:color w:val="FFFFFF"/>
                <w:sz w:val="17"/>
              </w:rPr>
            </w:r>
            <w:r>
              <w:rPr>
                <w:b/>
                <w:i w:val="0"/>
                <w:color w:val="FFFFFF"/>
                <w:sz w:val="17"/>
              </w:rPr>
              <w:t>Expected</w:t>
            </w:r>
          </w:p>
        </w:tc>
        <w:tc>
          <w:tcPr>
            <w:tcW w:type="dxa" w:w="2493"/>
            <w:shd w:val="clear" w:color="auto" w:fill="1B2A41"/>
          </w:tcPr>
          <w:p>
            <w:r>
              <w:rPr>
                <w:b/>
                <w:color w:val="FFFFFF"/>
                <w:sz w:val="17"/>
              </w:rPr>
            </w:r>
            <w:r>
              <w:rPr>
                <w:b/>
                <w:i w:val="0"/>
                <w:color w:val="FFFFFF"/>
                <w:sz w:val="17"/>
              </w:rPr>
              <w:t>Actual</w:t>
            </w:r>
          </w:p>
        </w:tc>
        <w:tc>
          <w:tcPr>
            <w:tcW w:type="dxa" w:w="2493"/>
            <w:shd w:val="clear" w:color="auto" w:fill="1B2A41"/>
          </w:tcPr>
          <w:p>
            <w:r>
              <w:rPr>
                <w:b/>
                <w:color w:val="FFFFFF"/>
                <w:sz w:val="17"/>
              </w:rPr>
            </w:r>
            <w:r>
              <w:rPr>
                <w:b/>
                <w:i w:val="0"/>
                <w:color w:val="FFFFFF"/>
                <w:sz w:val="17"/>
              </w:rPr>
              <w:t>Result</w:t>
            </w:r>
          </w:p>
        </w:tc>
      </w:tr>
      <w:tr>
        <w:tc>
          <w:tcPr>
            <w:tcW w:type="dxa" w:w="2493"/>
          </w:tcPr>
          <w:p>
            <w:r>
              <w:rPr>
                <w:b w:val="0"/>
                <w:sz w:val="17"/>
              </w:rPr>
            </w:r>
            <w:r>
              <w:rPr>
                <w:b w:val="0"/>
                <w:i w:val="0"/>
                <w:sz w:val="17"/>
              </w:rPr>
              <w:t>Interest posted Jan 2025 to Jul 2026 (ledger, types 303 and 120)</w:t>
            </w:r>
          </w:p>
        </w:tc>
        <w:tc>
          <w:tcPr>
            <w:tcW w:type="dxa" w:w="2493"/>
          </w:tcPr>
          <w:p>
            <w:r>
              <w:rPr>
                <w:b w:val="0"/>
                <w:sz w:val="17"/>
              </w:rPr>
            </w:r>
            <w:r>
              <w:rPr>
                <w:b w:val="0"/>
                <w:i w:val="0"/>
                <w:sz w:val="17"/>
              </w:rPr>
              <w:t>5,293,988,207.06</w:t>
            </w:r>
          </w:p>
        </w:tc>
        <w:tc>
          <w:tcPr>
            <w:tcW w:type="dxa" w:w="2493"/>
          </w:tcPr>
          <w:p>
            <w:r>
              <w:rPr>
                <w:b w:val="0"/>
                <w:sz w:val="17"/>
              </w:rPr>
            </w:r>
            <w:r>
              <w:rPr>
                <w:b w:val="0"/>
                <w:i w:val="0"/>
                <w:sz w:val="17"/>
              </w:rPr>
              <w:t>5,293,988,207.06</w:t>
            </w:r>
          </w:p>
        </w:tc>
        <w:tc>
          <w:tcPr>
            <w:tcW w:type="dxa" w:w="2493"/>
          </w:tcPr>
          <w:p>
            <w:r>
              <w:rPr>
                <w:b w:val="0"/>
                <w:sz w:val="17"/>
              </w:rPr>
            </w:r>
            <w:r>
              <w:rPr>
                <w:b w:val="0"/>
                <w:i w:val="0"/>
                <w:sz w:val="17"/>
              </w:rPr>
              <w:t>PASS</w:t>
            </w:r>
          </w:p>
        </w:tc>
      </w:tr>
      <w:tr>
        <w:tc>
          <w:tcPr>
            <w:tcW w:type="dxa" w:w="2493"/>
          </w:tcPr>
          <w:p>
            <w:r>
              <w:rPr>
                <w:b w:val="0"/>
                <w:sz w:val="17"/>
              </w:rPr>
            </w:r>
            <w:r>
              <w:rPr>
                <w:b w:val="0"/>
                <w:i w:val="0"/>
                <w:sz w:val="17"/>
              </w:rPr>
              <w:t>Derived carrying amount against the stored report (over 2 cents)</w:t>
            </w:r>
          </w:p>
        </w:tc>
        <w:tc>
          <w:tcPr>
            <w:tcW w:type="dxa" w:w="2493"/>
          </w:tcPr>
          <w:p>
            <w:r>
              <w:rPr>
                <w:b w:val="0"/>
                <w:sz w:val="17"/>
              </w:rPr>
            </w:r>
            <w:r>
              <w:rPr>
                <w:b w:val="0"/>
                <w:i w:val="0"/>
                <w:sz w:val="17"/>
              </w:rPr>
              <w:t>0 differences</w:t>
            </w:r>
          </w:p>
        </w:tc>
        <w:tc>
          <w:tcPr>
            <w:tcW w:type="dxa" w:w="2493"/>
          </w:tcPr>
          <w:p>
            <w:r>
              <w:rPr>
                <w:b w:val="0"/>
                <w:sz w:val="17"/>
              </w:rPr>
            </w:r>
            <w:r>
              <w:rPr>
                <w:b w:val="0"/>
                <w:i w:val="0"/>
                <w:sz w:val="17"/>
              </w:rPr>
              <w:t>0 of 2,361 account-months</w:t>
            </w:r>
          </w:p>
        </w:tc>
        <w:tc>
          <w:tcPr>
            <w:tcW w:type="dxa" w:w="2493"/>
          </w:tcPr>
          <w:p>
            <w:r>
              <w:rPr>
                <w:b w:val="0"/>
                <w:sz w:val="17"/>
              </w:rPr>
            </w:r>
            <w:r>
              <w:rPr>
                <w:b w:val="0"/>
                <w:i w:val="0"/>
                <w:sz w:val="17"/>
              </w:rPr>
              <w:t>PASS</w:t>
            </w:r>
          </w:p>
        </w:tc>
      </w:tr>
      <w:tr>
        <w:tc>
          <w:tcPr>
            <w:tcW w:type="dxa" w:w="2493"/>
          </w:tcPr>
          <w:p>
            <w:r>
              <w:rPr>
                <w:b w:val="0"/>
                <w:sz w:val="17"/>
              </w:rPr>
            </w:r>
            <w:r>
              <w:rPr>
                <w:b w:val="0"/>
                <w:i w:val="0"/>
                <w:sz w:val="17"/>
              </w:rPr>
              <w:t>Year-end interest batch contra on 4215</w:t>
            </w:r>
          </w:p>
        </w:tc>
        <w:tc>
          <w:tcPr>
            <w:tcW w:type="dxa" w:w="2493"/>
          </w:tcPr>
          <w:p>
            <w:r>
              <w:rPr>
                <w:b w:val="0"/>
                <w:sz w:val="17"/>
              </w:rPr>
            </w:r>
            <w:r>
              <w:rPr>
                <w:b w:val="0"/>
                <w:i w:val="0"/>
                <w:sz w:val="17"/>
              </w:rPr>
              <w:t>32,956,675.55</w:t>
            </w:r>
          </w:p>
        </w:tc>
        <w:tc>
          <w:tcPr>
            <w:tcW w:type="dxa" w:w="2493"/>
          </w:tcPr>
          <w:p>
            <w:r>
              <w:rPr>
                <w:b w:val="0"/>
                <w:sz w:val="17"/>
              </w:rPr>
            </w:r>
            <w:r>
              <w:rPr>
                <w:b w:val="0"/>
                <w:i w:val="0"/>
                <w:sz w:val="17"/>
              </w:rPr>
              <w:t>32,956,675.55</w:t>
            </w:r>
          </w:p>
        </w:tc>
        <w:tc>
          <w:tcPr>
            <w:tcW w:type="dxa" w:w="2493"/>
          </w:tcPr>
          <w:p>
            <w:r>
              <w:rPr>
                <w:b w:val="0"/>
                <w:sz w:val="17"/>
              </w:rPr>
            </w:r>
            <w:r>
              <w:rPr>
                <w:b w:val="0"/>
                <w:i w:val="0"/>
                <w:sz w:val="17"/>
              </w:rPr>
              <w:t>PASS</w:t>
            </w:r>
          </w:p>
        </w:tc>
      </w:tr>
      <w:tr>
        <w:tc>
          <w:tcPr>
            <w:tcW w:type="dxa" w:w="2493"/>
          </w:tcPr>
          <w:p>
            <w:r>
              <w:rPr>
                <w:b w:val="0"/>
                <w:sz w:val="17"/>
              </w:rPr>
            </w:r>
            <w:r>
              <w:rPr>
                <w:b w:val="0"/>
                <w:i w:val="0"/>
                <w:sz w:val="17"/>
              </w:rPr>
              <w:t>Year-end interest batch contra on 4216</w:t>
            </w:r>
          </w:p>
        </w:tc>
        <w:tc>
          <w:tcPr>
            <w:tcW w:type="dxa" w:w="2493"/>
          </w:tcPr>
          <w:p>
            <w:r>
              <w:rPr>
                <w:b w:val="0"/>
                <w:sz w:val="17"/>
              </w:rPr>
            </w:r>
            <w:r>
              <w:rPr>
                <w:b w:val="0"/>
                <w:i w:val="0"/>
                <w:sz w:val="17"/>
              </w:rPr>
              <w:t>−21,733,262.70</w:t>
            </w:r>
          </w:p>
        </w:tc>
        <w:tc>
          <w:tcPr>
            <w:tcW w:type="dxa" w:w="2493"/>
          </w:tcPr>
          <w:p>
            <w:r>
              <w:rPr>
                <w:b w:val="0"/>
                <w:sz w:val="17"/>
              </w:rPr>
            </w:r>
            <w:r>
              <w:rPr>
                <w:b w:val="0"/>
                <w:i w:val="0"/>
                <w:sz w:val="17"/>
              </w:rPr>
              <w:t>−21,733,262.70</w:t>
            </w:r>
          </w:p>
        </w:tc>
        <w:tc>
          <w:tcPr>
            <w:tcW w:type="dxa" w:w="2493"/>
          </w:tcPr>
          <w:p>
            <w:r>
              <w:rPr>
                <w:b w:val="0"/>
                <w:sz w:val="17"/>
              </w:rPr>
            </w:r>
            <w:r>
              <w:rPr>
                <w:b w:val="0"/>
                <w:i w:val="0"/>
                <w:sz w:val="17"/>
              </w:rPr>
              <w:t>PASS</w:t>
            </w:r>
          </w:p>
        </w:tc>
      </w:tr>
      <w:tr>
        <w:tc>
          <w:tcPr>
            <w:tcW w:type="dxa" w:w="2493"/>
          </w:tcPr>
          <w:p>
            <w:r>
              <w:rPr>
                <w:b w:val="0"/>
                <w:sz w:val="17"/>
              </w:rPr>
            </w:r>
            <w:r>
              <w:rPr>
                <w:b w:val="0"/>
                <w:i w:val="0"/>
                <w:sz w:val="17"/>
              </w:rPr>
              <w:t>Loan book 1050101 at 31 Dec 2025 against the trial balance</w:t>
            </w:r>
          </w:p>
        </w:tc>
        <w:tc>
          <w:tcPr>
            <w:tcW w:type="dxa" w:w="2493"/>
          </w:tcPr>
          <w:p>
            <w:r>
              <w:rPr>
                <w:b w:val="0"/>
                <w:sz w:val="17"/>
              </w:rPr>
            </w:r>
            <w:r>
              <w:rPr>
                <w:b w:val="0"/>
                <w:i w:val="0"/>
                <w:sz w:val="17"/>
              </w:rPr>
              <w:t>1,368,737,810.68</w:t>
            </w:r>
          </w:p>
        </w:tc>
        <w:tc>
          <w:tcPr>
            <w:tcW w:type="dxa" w:w="2493"/>
          </w:tcPr>
          <w:p>
            <w:r>
              <w:rPr>
                <w:b w:val="0"/>
                <w:sz w:val="17"/>
              </w:rPr>
            </w:r>
            <w:r>
              <w:rPr>
                <w:b w:val="0"/>
                <w:i w:val="0"/>
                <w:sz w:val="17"/>
              </w:rPr>
              <w:t>1,368,737,810.68</w:t>
            </w:r>
          </w:p>
        </w:tc>
        <w:tc>
          <w:tcPr>
            <w:tcW w:type="dxa" w:w="2493"/>
          </w:tcPr>
          <w:p>
            <w:r>
              <w:rPr>
                <w:b w:val="0"/>
                <w:sz w:val="17"/>
              </w:rPr>
            </w:r>
            <w:r>
              <w:rPr>
                <w:b w:val="0"/>
                <w:i w:val="0"/>
                <w:sz w:val="17"/>
              </w:rPr>
              <w:t>PASS</w:t>
            </w:r>
          </w:p>
        </w:tc>
      </w:tr>
      <w:tr>
        <w:tc>
          <w:tcPr>
            <w:tcW w:type="dxa" w:w="2493"/>
          </w:tcPr>
          <w:p>
            <w:r>
              <w:rPr>
                <w:b w:val="0"/>
                <w:sz w:val="17"/>
              </w:rPr>
            </w:r>
            <w:r>
              <w:rPr>
                <w:b w:val="0"/>
                <w:i w:val="0"/>
                <w:sz w:val="17"/>
              </w:rPr>
              <w:t>Loan book 1050102</w:t>
            </w:r>
          </w:p>
        </w:tc>
        <w:tc>
          <w:tcPr>
            <w:tcW w:type="dxa" w:w="2493"/>
          </w:tcPr>
          <w:p>
            <w:r>
              <w:rPr>
                <w:b w:val="0"/>
                <w:sz w:val="17"/>
              </w:rPr>
            </w:r>
            <w:r>
              <w:rPr>
                <w:b w:val="0"/>
                <w:i w:val="0"/>
                <w:sz w:val="17"/>
              </w:rPr>
              <w:t>6,434,045,052.56</w:t>
            </w:r>
          </w:p>
        </w:tc>
        <w:tc>
          <w:tcPr>
            <w:tcW w:type="dxa" w:w="2493"/>
          </w:tcPr>
          <w:p>
            <w:r>
              <w:rPr>
                <w:b w:val="0"/>
                <w:sz w:val="17"/>
              </w:rPr>
            </w:r>
            <w:r>
              <w:rPr>
                <w:b w:val="0"/>
                <w:i w:val="0"/>
                <w:sz w:val="17"/>
              </w:rPr>
              <w:t>6,434,045,052.56</w:t>
            </w:r>
          </w:p>
        </w:tc>
        <w:tc>
          <w:tcPr>
            <w:tcW w:type="dxa" w:w="2493"/>
          </w:tcPr>
          <w:p>
            <w:r>
              <w:rPr>
                <w:b w:val="0"/>
                <w:sz w:val="17"/>
              </w:rPr>
            </w:r>
            <w:r>
              <w:rPr>
                <w:b w:val="0"/>
                <w:i w:val="0"/>
                <w:sz w:val="17"/>
              </w:rPr>
              <w:t>PASS</w:t>
            </w:r>
          </w:p>
        </w:tc>
      </w:tr>
      <w:tr>
        <w:tc>
          <w:tcPr>
            <w:tcW w:type="dxa" w:w="2493"/>
          </w:tcPr>
          <w:p>
            <w:r>
              <w:rPr>
                <w:b w:val="0"/>
                <w:sz w:val="17"/>
              </w:rPr>
            </w:r>
            <w:r>
              <w:rPr>
                <w:b w:val="0"/>
                <w:i w:val="0"/>
                <w:sz w:val="17"/>
              </w:rPr>
              <w:t>Loan book 1050201 (accepted exception, spec 3.5: −400,000.00)</w:t>
            </w:r>
          </w:p>
        </w:tc>
        <w:tc>
          <w:tcPr>
            <w:tcW w:type="dxa" w:w="2493"/>
          </w:tcPr>
          <w:p>
            <w:r>
              <w:rPr>
                <w:b w:val="0"/>
                <w:sz w:val="17"/>
              </w:rPr>
            </w:r>
            <w:r>
              <w:rPr>
                <w:b w:val="0"/>
                <w:i w:val="0"/>
                <w:sz w:val="17"/>
              </w:rPr>
              <w:t>1,402,393,139.46</w:t>
            </w:r>
          </w:p>
        </w:tc>
        <w:tc>
          <w:tcPr>
            <w:tcW w:type="dxa" w:w="2493"/>
          </w:tcPr>
          <w:p>
            <w:r>
              <w:rPr>
                <w:b w:val="0"/>
                <w:sz w:val="17"/>
              </w:rPr>
            </w:r>
            <w:r>
              <w:rPr>
                <w:b w:val="0"/>
                <w:i w:val="0"/>
                <w:sz w:val="17"/>
              </w:rPr>
              <w:t>1,401,993,139.46</w:t>
            </w:r>
          </w:p>
        </w:tc>
        <w:tc>
          <w:tcPr>
            <w:tcW w:type="dxa" w:w="2493"/>
          </w:tcPr>
          <w:p>
            <w:r>
              <w:rPr>
                <w:b w:val="0"/>
                <w:sz w:val="17"/>
              </w:rPr>
            </w:r>
            <w:r>
              <w:rPr>
                <w:b w:val="0"/>
                <w:i w:val="0"/>
                <w:sz w:val="17"/>
              </w:rPr>
              <w:t>PASS</w:t>
            </w:r>
          </w:p>
        </w:tc>
      </w:tr>
      <w:tr>
        <w:tc>
          <w:tcPr>
            <w:tcW w:type="dxa" w:w="2493"/>
          </w:tcPr>
          <w:p>
            <w:r>
              <w:rPr>
                <w:b w:val="0"/>
                <w:sz w:val="17"/>
              </w:rPr>
            </w:r>
            <w:r>
              <w:rPr>
                <w:b w:val="0"/>
                <w:i w:val="0"/>
                <w:sz w:val="17"/>
              </w:rPr>
              <w:t>Loan book 1050202 (accepted exception, spec 3.5: +1,000,000.00)</w:t>
            </w:r>
          </w:p>
        </w:tc>
        <w:tc>
          <w:tcPr>
            <w:tcW w:type="dxa" w:w="2493"/>
          </w:tcPr>
          <w:p>
            <w:r>
              <w:rPr>
                <w:b w:val="0"/>
                <w:sz w:val="17"/>
              </w:rPr>
            </w:r>
            <w:r>
              <w:rPr>
                <w:b w:val="0"/>
                <w:i w:val="0"/>
                <w:sz w:val="17"/>
              </w:rPr>
              <w:t>3,808,288,656.15</w:t>
            </w:r>
          </w:p>
        </w:tc>
        <w:tc>
          <w:tcPr>
            <w:tcW w:type="dxa" w:w="2493"/>
          </w:tcPr>
          <w:p>
            <w:r>
              <w:rPr>
                <w:b w:val="0"/>
                <w:sz w:val="17"/>
              </w:rPr>
            </w:r>
            <w:r>
              <w:rPr>
                <w:b w:val="0"/>
                <w:i w:val="0"/>
                <w:sz w:val="17"/>
              </w:rPr>
              <w:t>3,809,288,656.15</w:t>
            </w:r>
          </w:p>
        </w:tc>
        <w:tc>
          <w:tcPr>
            <w:tcW w:type="dxa" w:w="2493"/>
          </w:tcPr>
          <w:p>
            <w:r>
              <w:rPr>
                <w:b w:val="0"/>
                <w:sz w:val="17"/>
              </w:rPr>
            </w:r>
            <w:r>
              <w:rPr>
                <w:b w:val="0"/>
                <w:i w:val="0"/>
                <w:sz w:val="17"/>
              </w:rPr>
              <w:t>PASS</w:t>
            </w:r>
          </w:p>
        </w:tc>
      </w:tr>
      <w:tr>
        <w:tc>
          <w:tcPr>
            <w:tcW w:type="dxa" w:w="2493"/>
          </w:tcPr>
          <w:p>
            <w:r>
              <w:rPr>
                <w:b w:val="0"/>
                <w:sz w:val="17"/>
              </w:rPr>
            </w:r>
            <w:r>
              <w:rPr>
                <w:b w:val="0"/>
                <w:i w:val="0"/>
                <w:sz w:val="17"/>
              </w:rPr>
              <w:t>Loan book 1050401</w:t>
            </w:r>
          </w:p>
        </w:tc>
        <w:tc>
          <w:tcPr>
            <w:tcW w:type="dxa" w:w="2493"/>
          </w:tcPr>
          <w:p>
            <w:r>
              <w:rPr>
                <w:b w:val="0"/>
                <w:sz w:val="17"/>
              </w:rPr>
            </w:r>
            <w:r>
              <w:rPr>
                <w:b w:val="0"/>
                <w:i w:val="0"/>
                <w:sz w:val="17"/>
              </w:rPr>
              <w:t>1,827,148,120.69</w:t>
            </w:r>
          </w:p>
        </w:tc>
        <w:tc>
          <w:tcPr>
            <w:tcW w:type="dxa" w:w="2493"/>
          </w:tcPr>
          <w:p>
            <w:r>
              <w:rPr>
                <w:b w:val="0"/>
                <w:sz w:val="17"/>
              </w:rPr>
            </w:r>
            <w:r>
              <w:rPr>
                <w:b w:val="0"/>
                <w:i w:val="0"/>
                <w:sz w:val="17"/>
              </w:rPr>
              <w:t>1,827,148,120.69</w:t>
            </w:r>
          </w:p>
        </w:tc>
        <w:tc>
          <w:tcPr>
            <w:tcW w:type="dxa" w:w="2493"/>
          </w:tcPr>
          <w:p>
            <w:r>
              <w:rPr>
                <w:b w:val="0"/>
                <w:sz w:val="17"/>
              </w:rPr>
            </w:r>
            <w:r>
              <w:rPr>
                <w:b w:val="0"/>
                <w:i w:val="0"/>
                <w:sz w:val="17"/>
              </w:rPr>
              <w:t>PASS</w:t>
            </w:r>
          </w:p>
        </w:tc>
      </w:tr>
    </w:tbl>
    <w:p/>
    <w:p>
      <w:pPr>
        <w:spacing w:after="120"/>
      </w:pPr>
      <w:r>
        <w:rPr>
          <w:b w:val="0"/>
          <w:i w:val="0"/>
        </w:rPr>
        <w:t>The ECL at 31 December 2025 and 2024 against the audited allowance, and the revenue shift, are not yet golden numbers: the first needs the Mega Farm book and the approved PD route; the last is born on the first run Dr Thom approves (spec 6.10.2).</w:t>
      </w:r>
    </w:p>
    <w:p>
      <w:pPr>
        <w:pStyle w:val="Heading3"/>
      </w:pPr>
      <w:r>
        <w:t>3.2 Staging under the directive, December 2025</w:t>
      </w:r>
    </w:p>
    <w:p>
      <w:pPr>
        <w:spacing w:after="120"/>
      </w:pPr>
      <w:r>
        <w:rPr>
          <w:b w:val="0"/>
          <w:i w:val="0"/>
        </w:rPr>
        <w:t>Under the governed rule (Stage 2 from 31 days; Stage 3 from 91 days for a facility of 12 months or less and from 181 days otherwise; four consecutive missed instalments) the December 2025 book of 123 accounts stages 57 / 17 / 49. The November 2025 ECL model, on the uniform 181-day rule, staged its 100 loans with fewer in Stage 3. The difference is the directive's short-term rule and the missed-instalment trigger; both are governed and can be set back for comparison.</w:t>
      </w:r>
    </w:p>
    <w:p>
      <w:pPr>
        <w:pStyle w:val="Heading2"/>
      </w:pPr>
      <w:r>
        <w:t>4. What the build found</w:t>
      </w:r>
    </w:p>
    <w:p>
      <w:pPr>
        <w:spacing w:after="120"/>
      </w:pPr>
      <w:r>
        <w:rPr>
          <w:b/>
          <w:i w:val="0"/>
        </w:rPr>
        <w:t>The November 2025 Mega Farm loan book.</w:t>
      </w:r>
      <w:r>
        <w:rPr>
          <w:b w:val="0"/>
          <w:i w:val="0"/>
        </w:rPr>
        <w:t xml:space="preserve"> The demo copy of the production database holds, for reporting period 2025-11, 3,490 loans across the Mega Farm GLs: 1050301 fertiliser (1,523 loans, K38.91 bn), 1050302 seed (1,180, K8.61 bn), 1050303 working capital (102, K0.90 bn), 1050304 equipment (130, K2.07 bn), 1050305 irrigation (3, K2.16 bn), 1050307 pesticides (552, K2.20 bn): K54.85 bn in all, loaded on 21 January 2026 at a uniform 15 percent rate with the arrears buckets filled and no ECL computed. Under the MEGA_FARM staging class (91 days) they stage 3,161 / 18 / 436. This is the monthly Mega Farm loan book the email to Dr Thom asks for, at least for one month; it answers part of specification section 16.8 (the book exists in the system) and sharpens the question of how the K39.76 bn provision was arrived at, since the book as loaded is mostly Stage 1 by days past due.</w:t>
      </w:r>
    </w:p>
    <w:p>
      <w:pPr>
        <w:spacing w:after="120"/>
      </w:pPr>
      <w:r>
        <w:rPr>
          <w:b/>
          <w:i w:val="0"/>
        </w:rPr>
        <w:t>Schema drift.</w:t>
      </w:r>
      <w:r>
        <w:rPr>
          <w:b w:val="0"/>
          <w:i w:val="0"/>
        </w:rPr>
        <w:t xml:space="preserve"> A clean migrate lacked </w:t>
      </w:r>
      <w:r>
        <w:rPr>
          <w:rFonts w:ascii="Consolas" w:hAnsi="Consolas"/>
          <w:b w:val="0"/>
          <w:i w:val="0"/>
          <w:sz w:val="18"/>
        </w:rPr>
        <w:t>loan_books.ead</w:t>
      </w:r>
      <w:r>
        <w:rPr>
          <w:b w:val="0"/>
          <w:i w:val="0"/>
        </w:rPr>
        <w:t xml:space="preserve">, </w:t>
      </w:r>
      <w:r>
        <w:rPr>
          <w:rFonts w:ascii="Consolas" w:hAnsi="Consolas"/>
          <w:b w:val="0"/>
          <w:i w:val="0"/>
          <w:sz w:val="18"/>
        </w:rPr>
        <w:t>off_balance_sheet_exposure</w:t>
      </w:r>
      <w:r>
        <w:rPr>
          <w:b w:val="0"/>
          <w:i w:val="0"/>
        </w:rPr>
        <w:t xml:space="preserve"> and </w:t>
      </w:r>
      <w:r>
        <w:rPr>
          <w:rFonts w:ascii="Consolas" w:hAnsi="Consolas"/>
          <w:b w:val="0"/>
          <w:i w:val="0"/>
          <w:sz w:val="18"/>
        </w:rPr>
        <w:t>customer_name_imported</w:t>
      </w:r>
      <w:r>
        <w:rPr>
          <w:b w:val="0"/>
          <w:i w:val="0"/>
        </w:rPr>
        <w:t xml:space="preserve">, which the production database carries and the ECL service and reports read. They were added by hand at some point. Migration </w:t>
      </w:r>
      <w:r>
        <w:rPr>
          <w:rFonts w:ascii="Consolas" w:hAnsi="Consolas"/>
          <w:b w:val="0"/>
          <w:i w:val="0"/>
          <w:sz w:val="18"/>
        </w:rPr>
        <w:t>2026_10_08_300000</w:t>
      </w:r>
      <w:r>
        <w:rPr>
          <w:b w:val="0"/>
          <w:i w:val="0"/>
        </w:rPr>
        <w:t xml:space="preserve"> adds them, guarded, so both a clean install and the production copy end in the same shape. The production copy also carries eleven working tables (</w:t>
      </w:r>
      <w:r>
        <w:rPr>
          <w:rFonts w:ascii="Consolas" w:hAnsi="Consolas"/>
          <w:b w:val="0"/>
          <w:i w:val="0"/>
          <w:sz w:val="18"/>
        </w:rPr>
        <w:t>legacy_loanbook</w:t>
      </w:r>
      <w:r>
        <w:rPr>
          <w:b w:val="0"/>
          <w:i w:val="0"/>
        </w:rPr>
        <w:t xml:space="preserve">, </w:t>
      </w:r>
      <w:r>
        <w:rPr>
          <w:rFonts w:ascii="Consolas" w:hAnsi="Consolas"/>
          <w:b w:val="0"/>
          <w:i w:val="0"/>
          <w:sz w:val="18"/>
        </w:rPr>
        <w:t>stageing_*</w:t>
      </w:r>
      <w:r>
        <w:rPr>
          <w:b w:val="0"/>
          <w:i w:val="0"/>
        </w:rPr>
        <w:t xml:space="preserve">, </w:t>
      </w:r>
      <w:r>
        <w:rPr>
          <w:rFonts w:ascii="Consolas" w:hAnsi="Consolas"/>
          <w:b w:val="0"/>
          <w:i w:val="0"/>
          <w:sz w:val="18"/>
        </w:rPr>
        <w:t>ebanker_loan_books</w:t>
      </w:r>
      <w:r>
        <w:rPr>
          <w:b w:val="0"/>
          <w:i w:val="0"/>
        </w:rPr>
        <w:t xml:space="preserve">, </w:t>
      </w:r>
      <w:r>
        <w:rPr>
          <w:rFonts w:ascii="Consolas" w:hAnsi="Consolas"/>
          <w:b w:val="0"/>
          <w:i w:val="0"/>
          <w:sz w:val="18"/>
        </w:rPr>
        <w:t>ecl_models</w:t>
      </w:r>
      <w:r>
        <w:rPr>
          <w:b w:val="0"/>
          <w:i w:val="0"/>
        </w:rPr>
        <w:t xml:space="preserve">, </w:t>
      </w:r>
      <w:r>
        <w:rPr>
          <w:rFonts w:ascii="Consolas" w:hAnsi="Consolas"/>
          <w:b w:val="0"/>
          <w:i w:val="0"/>
          <w:sz w:val="18"/>
        </w:rPr>
        <w:t>industry_types_updated</w:t>
      </w:r>
      <w:r>
        <w:rPr>
          <w:b w:val="0"/>
          <w:i w:val="0"/>
        </w:rPr>
        <w:t xml:space="preserve">, </w:t>
      </w:r>
      <w:r>
        <w:rPr>
          <w:rFonts w:ascii="Consolas" w:hAnsi="Consolas"/>
          <w:b w:val="0"/>
          <w:i w:val="0"/>
          <w:sz w:val="18"/>
        </w:rPr>
        <w:t>single_records</w:t>
      </w:r>
      <w:r>
        <w:rPr>
          <w:b w:val="0"/>
          <w:i w:val="0"/>
        </w:rPr>
        <w:t>) that no migration knows; they are left alone and listed here.</w:t>
      </w:r>
    </w:p>
    <w:p>
      <w:pPr>
        <w:spacing w:after="120"/>
      </w:pPr>
      <w:r>
        <w:rPr>
          <w:b/>
          <w:i w:val="0"/>
        </w:rPr>
        <w:t>Old test rows.</w:t>
      </w:r>
      <w:r>
        <w:rPr>
          <w:b w:val="0"/>
          <w:i w:val="0"/>
        </w:rPr>
        <w:t xml:space="preserve"> The production copy held 213 loan-book rows with serial contract ids (1, 2, 3 …) and sample balances in July 2024 to March 2025, from an early test import. The build retires them only when asked (</w:t>
      </w:r>
      <w:r>
        <w:rPr>
          <w:rFonts w:ascii="Consolas" w:hAnsi="Consolas"/>
          <w:b w:val="0"/>
          <w:i w:val="0"/>
          <w:sz w:val="18"/>
        </w:rPr>
        <w:t>--retire-stale</w:t>
      </w:r>
      <w:r>
        <w:rPr>
          <w:b w:val="0"/>
          <w:i w:val="0"/>
        </w:rPr>
        <w:t>), and only rows on a GL it covers or on no GL; the Mega Farm rows are kept.</w:t>
      </w:r>
    </w:p>
    <w:p>
      <w:pPr>
        <w:spacing w:after="120"/>
      </w:pPr>
      <w:r>
        <w:rPr>
          <w:b/>
          <w:i w:val="0"/>
        </w:rPr>
        <w:t>The take-on population is 78, not 109.</w:t>
      </w:r>
      <w:r>
        <w:rPr>
          <w:b w:val="0"/>
          <w:i w:val="0"/>
        </w:rPr>
        <w:t xml:space="preserve"> E-Banker's manual opening postings (operation date 31 July 2024: the 301 principal, the 303 opening interest, the 305 opening recovery, back-dated to each loan) exist for 78 accounts. The workbook's 109 facilities include ones closed before migration. The schedule balance at 31 July 2024 differs from the net opening principal on 72 of 73 mapped accounts, on both sides, because the schedules are contractual while the opening recovery is actual.</w:t>
      </w:r>
    </w:p>
    <w:p>
      <w:pPr>
        <w:spacing w:after="120"/>
      </w:pPr>
      <w:r>
        <w:rPr>
          <w:b/>
          <w:i w:val="0"/>
        </w:rPr>
        <w:t>The revenue roll-forward reads the stage.</w:t>
      </w:r>
      <w:r>
        <w:rPr>
          <w:b w:val="0"/>
          <w:i w:val="0"/>
        </w:rPr>
        <w:t xml:space="preserve"> Stage 3 interest is on the net basis, so the chain had to stage before the revenue run; the specification's order (EIR first, for discounting) still holds between EIR and ECL.</w:t>
      </w:r>
    </w:p>
    <w:p>
      <w:pPr>
        <w:spacing w:after="120"/>
      </w:pPr>
      <w:r>
        <w:rPr>
          <w:b/>
          <w:i w:val="0"/>
        </w:rPr>
        <w:t>The feed's dates.</w:t>
      </w:r>
      <w:r>
        <w:rPr>
          <w:b w:val="0"/>
          <w:i w:val="0"/>
        </w:rPr>
        <w:t xml:space="preserve"> E-Banker exports a timestamp column (LOS requests) with its time; the date gate now keeps the date part. One extract (security details) returns one row per security and account, so the register names a composite key and the gate checks uniqueness within the file.</w:t>
      </w:r>
    </w:p>
    <w:p>
      <w:pPr>
        <w:pStyle w:val="Heading2"/>
      </w:pPr>
      <w:r>
        <w:t>5. Decisions and inputs MAIIC owes, found or confirmed by the build</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B2A41"/>
          </w:tcPr>
          <w:p>
            <w:r>
              <w:rPr>
                <w:b/>
                <w:color w:val="FFFFFF"/>
                <w:sz w:val="17"/>
              </w:rPr>
            </w:r>
            <w:r>
              <w:rPr>
                <w:b/>
                <w:i w:val="0"/>
                <w:color w:val="FFFFFF"/>
                <w:sz w:val="17"/>
              </w:rPr>
              <w:t>Who</w:t>
            </w:r>
          </w:p>
        </w:tc>
        <w:tc>
          <w:tcPr>
            <w:tcW w:type="dxa" w:w="3324"/>
            <w:shd w:val="clear" w:color="auto" w:fill="1B2A41"/>
          </w:tcPr>
          <w:p>
            <w:r>
              <w:rPr>
                <w:b/>
                <w:color w:val="FFFFFF"/>
                <w:sz w:val="17"/>
              </w:rPr>
            </w:r>
            <w:r>
              <w:rPr>
                <w:b/>
                <w:i w:val="0"/>
                <w:color w:val="FFFFFF"/>
                <w:sz w:val="17"/>
              </w:rPr>
              <w:t>What</w:t>
            </w:r>
          </w:p>
        </w:tc>
        <w:tc>
          <w:tcPr>
            <w:tcW w:type="dxa" w:w="3324"/>
            <w:shd w:val="clear" w:color="auto" w:fill="1B2A41"/>
          </w:tcPr>
          <w:p>
            <w:r>
              <w:rPr>
                <w:b/>
                <w:color w:val="FFFFFF"/>
                <w:sz w:val="17"/>
              </w:rPr>
            </w:r>
            <w:r>
              <w:rPr>
                <w:b/>
                <w:i w:val="0"/>
                <w:color w:val="FFFFFF"/>
                <w:sz w:val="17"/>
              </w:rPr>
              <w:t>Why it matters now</w:t>
            </w:r>
          </w:p>
        </w:tc>
      </w:tr>
      <w:tr>
        <w:tc>
          <w:tcPr>
            <w:tcW w:type="dxa" w:w="3324"/>
          </w:tcPr>
          <w:p>
            <w:r>
              <w:rPr>
                <w:b w:val="0"/>
                <w:sz w:val="17"/>
              </w:rPr>
            </w:r>
            <w:r>
              <w:rPr>
                <w:b w:val="0"/>
                <w:i w:val="0"/>
                <w:sz w:val="17"/>
              </w:rPr>
              <w:t>Dr Thom or the reviewer of accounting rules</w:t>
            </w:r>
          </w:p>
        </w:tc>
        <w:tc>
          <w:tcPr>
            <w:tcW w:type="dxa" w:w="3324"/>
          </w:tcPr>
          <w:p>
            <w:r>
              <w:rPr>
                <w:b w:val="0"/>
                <w:sz w:val="17"/>
              </w:rPr>
            </w:r>
            <w:r>
              <w:rPr>
                <w:b w:val="0"/>
                <w:i w:val="0"/>
                <w:sz w:val="17"/>
              </w:rPr>
              <w:t>Approve the fee rulebook (30 rules seeded, three for E-Banker's own charge names)</w:t>
            </w:r>
          </w:p>
        </w:tc>
        <w:tc>
          <w:tcPr>
            <w:tcW w:type="dxa" w:w="3324"/>
          </w:tcPr>
          <w:p>
            <w:r>
              <w:rPr>
                <w:b w:val="0"/>
                <w:sz w:val="17"/>
              </w:rPr>
            </w:r>
            <w:r>
              <w:rPr>
                <w:b w:val="0"/>
                <w:i w:val="0"/>
                <w:sz w:val="17"/>
              </w:rPr>
              <w:t>19 of 31 solvable EIRs are blocked at the fee gate until a reviewer approves the rules and the classifications</w:t>
            </w:r>
          </w:p>
        </w:tc>
      </w:tr>
      <w:tr>
        <w:tc>
          <w:tcPr>
            <w:tcW w:type="dxa" w:w="3324"/>
          </w:tcPr>
          <w:p>
            <w:r>
              <w:rPr>
                <w:b w:val="0"/>
                <w:sz w:val="17"/>
              </w:rPr>
            </w:r>
            <w:r>
              <w:rPr>
                <w:b w:val="0"/>
                <w:i w:val="0"/>
                <w:sz w:val="17"/>
              </w:rPr>
              <w:t>Tamanda</w:t>
            </w:r>
          </w:p>
        </w:tc>
        <w:tc>
          <w:tcPr>
            <w:tcW w:type="dxa" w:w="3324"/>
          </w:tcPr>
          <w:p>
            <w:r>
              <w:rPr>
                <w:b w:val="0"/>
                <w:sz w:val="17"/>
              </w:rPr>
            </w:r>
            <w:r>
              <w:rPr>
                <w:b w:val="0"/>
                <w:i w:val="0"/>
                <w:sz w:val="17"/>
              </w:rPr>
              <w:t>Which of blocks 34 and 55 belongs to account 000104450000036; the fees of the take-on loans in the yellow columns or on the Take-on Schedules screen</w:t>
            </w:r>
          </w:p>
        </w:tc>
        <w:tc>
          <w:tcPr>
            <w:tcW w:type="dxa" w:w="3324"/>
          </w:tcPr>
          <w:p>
            <w:r>
              <w:rPr>
                <w:b w:val="0"/>
                <w:sz w:val="17"/>
              </w:rPr>
            </w:r>
            <w:r>
              <w:rPr>
                <w:b w:val="0"/>
                <w:i w:val="0"/>
                <w:sz w:val="17"/>
              </w:rPr>
              <w:t>The refused block; all 78 take-on loans start at the take-on balance until fees exist</w:t>
            </w:r>
          </w:p>
        </w:tc>
      </w:tr>
      <w:tr>
        <w:tc>
          <w:tcPr>
            <w:tcW w:type="dxa" w:w="3324"/>
          </w:tcPr>
          <w:p>
            <w:r>
              <w:rPr>
                <w:b w:val="0"/>
                <w:sz w:val="17"/>
              </w:rPr>
            </w:r>
            <w:r>
              <w:rPr>
                <w:b w:val="0"/>
                <w:i w:val="0"/>
                <w:sz w:val="17"/>
              </w:rPr>
              <w:t>Finance</w:t>
            </w:r>
          </w:p>
        </w:tc>
        <w:tc>
          <w:tcPr>
            <w:tcW w:type="dxa" w:w="3324"/>
          </w:tcPr>
          <w:p>
            <w:r>
              <w:rPr>
                <w:b w:val="0"/>
                <w:sz w:val="17"/>
              </w:rPr>
            </w:r>
            <w:r>
              <w:rPr>
                <w:b w:val="0"/>
                <w:i w:val="0"/>
                <w:sz w:val="17"/>
              </w:rPr>
              <w:t>The keyed GL openings of 1050201 and 1050202 (section 3.5)</w:t>
            </w:r>
          </w:p>
        </w:tc>
        <w:tc>
          <w:tcPr>
            <w:tcW w:type="dxa" w:w="3324"/>
          </w:tcPr>
          <w:p>
            <w:r>
              <w:rPr>
                <w:b w:val="0"/>
                <w:sz w:val="17"/>
              </w:rPr>
            </w:r>
            <w:r>
              <w:rPr>
                <w:b w:val="0"/>
                <w:i w:val="0"/>
                <w:sz w:val="17"/>
              </w:rPr>
              <w:t>Two golden checks pass only as accepted exceptions</w:t>
            </w:r>
          </w:p>
        </w:tc>
      </w:tr>
      <w:tr>
        <w:tc>
          <w:tcPr>
            <w:tcW w:type="dxa" w:w="3324"/>
          </w:tcPr>
          <w:p>
            <w:r>
              <w:rPr>
                <w:b w:val="0"/>
                <w:sz w:val="17"/>
              </w:rPr>
            </w:r>
            <w:r>
              <w:rPr>
                <w:b w:val="0"/>
                <w:i w:val="0"/>
                <w:sz w:val="17"/>
              </w:rPr>
              <w:t>Dr Thom</w:t>
            </w:r>
          </w:p>
        </w:tc>
        <w:tc>
          <w:tcPr>
            <w:tcW w:type="dxa" w:w="3324"/>
          </w:tcPr>
          <w:p>
            <w:r>
              <w:rPr>
                <w:b w:val="0"/>
                <w:sz w:val="17"/>
              </w:rPr>
            </w:r>
            <w:r>
              <w:rPr>
                <w:b w:val="0"/>
                <w:i w:val="0"/>
                <w:sz w:val="17"/>
              </w:rPr>
              <w:t>How the November 2025 Mega Farm book (3,490 loans, K54.85 bn) relates to the K51.5 bn gross and K48.7 bn Stage 3 of the statements; the monthly Mega Farm books</w:t>
            </w:r>
          </w:p>
        </w:tc>
        <w:tc>
          <w:tcPr>
            <w:tcW w:type="dxa" w:w="3324"/>
          </w:tcPr>
          <w:p>
            <w:r>
              <w:rPr>
                <w:b w:val="0"/>
                <w:sz w:val="17"/>
              </w:rPr>
            </w:r>
            <w:r>
              <w:rPr>
                <w:b w:val="0"/>
                <w:i w:val="0"/>
                <w:sz w:val="17"/>
              </w:rPr>
              <w:t>Section 16; the ECL golden number at 31 December 2025</w:t>
            </w:r>
          </w:p>
        </w:tc>
      </w:tr>
      <w:tr>
        <w:tc>
          <w:tcPr>
            <w:tcW w:type="dxa" w:w="3324"/>
          </w:tcPr>
          <w:p>
            <w:r>
              <w:rPr>
                <w:b w:val="0"/>
                <w:sz w:val="17"/>
              </w:rPr>
            </w:r>
            <w:r>
              <w:rPr>
                <w:b w:val="0"/>
                <w:i w:val="0"/>
                <w:sz w:val="17"/>
              </w:rPr>
              <w:t>Barry</w:t>
            </w:r>
          </w:p>
        </w:tc>
        <w:tc>
          <w:tcPr>
            <w:tcW w:type="dxa" w:w="3324"/>
          </w:tcPr>
          <w:p>
            <w:r>
              <w:rPr>
                <w:b w:val="0"/>
                <w:sz w:val="17"/>
              </w:rPr>
            </w:r>
            <w:r>
              <w:rPr>
                <w:b w:val="0"/>
                <w:i w:val="0"/>
                <w:sz w:val="17"/>
              </w:rPr>
              <w:t>September 2026 loan-book run (M09_03), the Mega Farm extracts (MF_01 to MF_08), the P2_13 re-run</w:t>
            </w:r>
          </w:p>
        </w:tc>
        <w:tc>
          <w:tcPr>
            <w:tcW w:type="dxa" w:w="3324"/>
          </w:tcPr>
          <w:p>
            <w:r>
              <w:rPr>
                <w:b w:val="0"/>
                <w:sz w:val="17"/>
              </w:rPr>
            </w:r>
            <w:r>
              <w:rPr>
                <w:b w:val="0"/>
                <w:i w:val="0"/>
                <w:sz w:val="17"/>
              </w:rPr>
              <w:t>The feed's first monthly pack; the Mega Farm build</w:t>
            </w:r>
          </w:p>
        </w:tc>
      </w:tr>
    </w:tbl>
    <w:p/>
    <w:p>
      <w:pPr>
        <w:pStyle w:val="Heading2"/>
      </w:pPr>
      <w:r>
        <w:t>6. What is still owed</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1B2A41"/>
          </w:tcPr>
          <w:p>
            <w:r>
              <w:rPr>
                <w:b/>
                <w:color w:val="FFFFFF"/>
                <w:sz w:val="17"/>
              </w:rPr>
            </w:r>
            <w:r>
              <w:rPr>
                <w:b/>
                <w:i w:val="0"/>
                <w:color w:val="FFFFFF"/>
                <w:sz w:val="17"/>
              </w:rPr>
              <w:t>Item</w:t>
            </w:r>
          </w:p>
        </w:tc>
        <w:tc>
          <w:tcPr>
            <w:tcW w:type="dxa" w:w="2493"/>
            <w:shd w:val="clear" w:color="auto" w:fill="1B2A41"/>
          </w:tcPr>
          <w:p>
            <w:r>
              <w:rPr>
                <w:b/>
                <w:color w:val="FFFFFF"/>
                <w:sz w:val="17"/>
              </w:rPr>
            </w:r>
            <w:r>
              <w:rPr>
                <w:b/>
                <w:i w:val="0"/>
                <w:color w:val="FFFFFF"/>
                <w:sz w:val="17"/>
              </w:rPr>
              <w:t>Spec</w:t>
            </w:r>
          </w:p>
        </w:tc>
        <w:tc>
          <w:tcPr>
            <w:tcW w:type="dxa" w:w="2493"/>
            <w:shd w:val="clear" w:color="auto" w:fill="1B2A41"/>
          </w:tcPr>
          <w:p>
            <w:r>
              <w:rPr>
                <w:b/>
                <w:color w:val="FFFFFF"/>
                <w:sz w:val="17"/>
              </w:rPr>
            </w:r>
            <w:r>
              <w:rPr>
                <w:b/>
                <w:i w:val="0"/>
                <w:color w:val="FFFFFF"/>
                <w:sz w:val="17"/>
              </w:rPr>
              <w:t>What it is</w:t>
            </w:r>
          </w:p>
        </w:tc>
        <w:tc>
          <w:tcPr>
            <w:tcW w:type="dxa" w:w="2493"/>
            <w:shd w:val="clear" w:color="auto" w:fill="1B2A41"/>
          </w:tcPr>
          <w:p>
            <w:r>
              <w:rPr>
                <w:b/>
                <w:color w:val="FFFFFF"/>
                <w:sz w:val="17"/>
              </w:rPr>
            </w:r>
            <w:r>
              <w:rPr>
                <w:b/>
                <w:i w:val="0"/>
                <w:color w:val="FFFFFF"/>
                <w:sz w:val="17"/>
              </w:rPr>
              <w:t>Size</w:t>
            </w:r>
          </w:p>
        </w:tc>
      </w:tr>
      <w:tr>
        <w:tc>
          <w:tcPr>
            <w:tcW w:type="dxa" w:w="2493"/>
          </w:tcPr>
          <w:p>
            <w:r>
              <w:rPr>
                <w:b w:val="0"/>
                <w:sz w:val="17"/>
              </w:rPr>
            </w:r>
            <w:r>
              <w:rPr>
                <w:b w:val="0"/>
                <w:i w:val="0"/>
                <w:sz w:val="17"/>
              </w:rPr>
              <w:t>Routes 2 to 5 of the feed</w:t>
            </w:r>
          </w:p>
        </w:tc>
        <w:tc>
          <w:tcPr>
            <w:tcW w:type="dxa" w:w="2493"/>
          </w:tcPr>
          <w:p>
            <w:r>
              <w:rPr>
                <w:b w:val="0"/>
                <w:sz w:val="17"/>
              </w:rPr>
            </w:r>
            <w:r>
              <w:rPr>
                <w:b w:val="0"/>
                <w:i w:val="0"/>
                <w:sz w:val="17"/>
              </w:rPr>
              <w:t>6.5</w:t>
            </w:r>
          </w:p>
        </w:tc>
        <w:tc>
          <w:tcPr>
            <w:tcW w:type="dxa" w:w="2493"/>
          </w:tcPr>
          <w:p>
            <w:r>
              <w:rPr>
                <w:b w:val="0"/>
                <w:sz w:val="17"/>
              </w:rPr>
            </w:r>
            <w:r>
              <w:rPr>
                <w:b w:val="0"/>
                <w:i w:val="0"/>
                <w:sz w:val="17"/>
              </w:rPr>
              <w:t>The scheduled export, the API push, the direct read, the vendor view: the same pack through the same door</w:t>
            </w:r>
          </w:p>
        </w:tc>
        <w:tc>
          <w:tcPr>
            <w:tcW w:type="dxa" w:w="2493"/>
          </w:tcPr>
          <w:p>
            <w:r>
              <w:rPr>
                <w:b w:val="0"/>
                <w:sz w:val="17"/>
              </w:rPr>
            </w:r>
            <w:r>
              <w:rPr>
                <w:b w:val="0"/>
                <w:i w:val="0"/>
                <w:sz w:val="17"/>
              </w:rPr>
              <w:t>Route 2: a script and a scheduler job; route 4 needs ICT's consent</w:t>
            </w:r>
          </w:p>
        </w:tc>
      </w:tr>
      <w:tr>
        <w:tc>
          <w:tcPr>
            <w:tcW w:type="dxa" w:w="2493"/>
          </w:tcPr>
          <w:p>
            <w:r>
              <w:rPr>
                <w:b w:val="0"/>
                <w:sz w:val="17"/>
              </w:rPr>
            </w:r>
            <w:r>
              <w:rPr>
                <w:b w:val="0"/>
                <w:i w:val="0"/>
                <w:sz w:val="17"/>
              </w:rPr>
              <w:t>Stress testing and the reports in the chain</w:t>
            </w:r>
          </w:p>
        </w:tc>
        <w:tc>
          <w:tcPr>
            <w:tcW w:type="dxa" w:w="2493"/>
          </w:tcPr>
          <w:p>
            <w:r>
              <w:rPr>
                <w:b w:val="0"/>
                <w:sz w:val="17"/>
              </w:rPr>
            </w:r>
            <w:r>
              <w:rPr>
                <w:b w:val="0"/>
                <w:i w:val="0"/>
                <w:sz w:val="17"/>
              </w:rPr>
              <w:t>6.10.1 steps 11, 12</w:t>
            </w:r>
          </w:p>
        </w:tc>
        <w:tc>
          <w:tcPr>
            <w:tcW w:type="dxa" w:w="2493"/>
          </w:tcPr>
          <w:p>
            <w:r>
              <w:rPr>
                <w:b w:val="0"/>
                <w:sz w:val="17"/>
              </w:rPr>
            </w:r>
            <w:r>
              <w:rPr>
                <w:b w:val="0"/>
                <w:i w:val="0"/>
                <w:sz w:val="17"/>
              </w:rPr>
              <w:t>Run from their screens today</w:t>
            </w:r>
          </w:p>
        </w:tc>
        <w:tc>
          <w:tcPr>
            <w:tcW w:type="dxa" w:w="2493"/>
          </w:tcPr>
          <w:p>
            <w:r>
              <w:rPr>
                <w:b w:val="0"/>
                <w:sz w:val="17"/>
              </w:rPr>
            </w:r>
            <w:r>
              <w:rPr>
                <w:b w:val="0"/>
                <w:i w:val="0"/>
                <w:sz w:val="17"/>
              </w:rPr>
              <w:t>Half a day each</w:t>
            </w:r>
          </w:p>
        </w:tc>
      </w:tr>
      <w:tr>
        <w:tc>
          <w:tcPr>
            <w:tcW w:type="dxa" w:w="2493"/>
          </w:tcPr>
          <w:p>
            <w:r>
              <w:rPr>
                <w:b w:val="0"/>
                <w:sz w:val="17"/>
              </w:rPr>
            </w:r>
            <w:r>
              <w:rPr>
                <w:b w:val="0"/>
                <w:i w:val="0"/>
                <w:sz w:val="17"/>
              </w:rPr>
              <w:t>FLI Adjustments screen and the fit approval</w:t>
            </w:r>
          </w:p>
        </w:tc>
        <w:tc>
          <w:tcPr>
            <w:tcW w:type="dxa" w:w="2493"/>
          </w:tcPr>
          <w:p>
            <w:r>
              <w:rPr>
                <w:b w:val="0"/>
                <w:sz w:val="17"/>
              </w:rPr>
            </w:r>
            <w:r>
              <w:rPr>
                <w:b w:val="0"/>
                <w:i w:val="0"/>
                <w:sz w:val="17"/>
              </w:rPr>
              <w:t>14.6</w:t>
            </w:r>
          </w:p>
        </w:tc>
        <w:tc>
          <w:tcPr>
            <w:tcW w:type="dxa" w:w="2493"/>
          </w:tcPr>
          <w:p>
            <w:r>
              <w:rPr>
                <w:b w:val="0"/>
                <w:sz w:val="17"/>
              </w:rPr>
            </w:r>
            <w:r>
              <w:rPr>
                <w:b w:val="0"/>
                <w:i w:val="0"/>
                <w:sz w:val="17"/>
              </w:rPr>
              <w:t>The chain's applied fits are proposals; a reviewer approves one on a screen and the route applies it per scenario</w:t>
            </w:r>
          </w:p>
        </w:tc>
        <w:tc>
          <w:tcPr>
            <w:tcW w:type="dxa" w:w="2493"/>
          </w:tcPr>
          <w:p>
            <w:r>
              <w:rPr>
                <w:b w:val="0"/>
                <w:sz w:val="17"/>
              </w:rPr>
            </w:r>
            <w:r>
              <w:rPr>
                <w:b w:val="0"/>
                <w:i w:val="0"/>
                <w:sz w:val="17"/>
              </w:rPr>
              <w:t>One day</w:t>
            </w:r>
          </w:p>
        </w:tc>
      </w:tr>
      <w:tr>
        <w:tc>
          <w:tcPr>
            <w:tcW w:type="dxa" w:w="2493"/>
          </w:tcPr>
          <w:p>
            <w:r>
              <w:rPr>
                <w:b w:val="0"/>
                <w:sz w:val="17"/>
              </w:rPr>
            </w:r>
            <w:r>
              <w:rPr>
                <w:b w:val="0"/>
                <w:i w:val="0"/>
                <w:sz w:val="17"/>
              </w:rPr>
              <w:t>The chain per scenario</w:t>
            </w:r>
          </w:p>
        </w:tc>
        <w:tc>
          <w:tcPr>
            <w:tcW w:type="dxa" w:w="2493"/>
          </w:tcPr>
          <w:p>
            <w:r>
              <w:rPr>
                <w:b w:val="0"/>
                <w:sz w:val="17"/>
              </w:rPr>
            </w:r>
            <w:r>
              <w:rPr>
                <w:b w:val="0"/>
                <w:i w:val="0"/>
                <w:sz w:val="17"/>
              </w:rPr>
              <w:t>15.5</w:t>
            </w:r>
          </w:p>
        </w:tc>
        <w:tc>
          <w:tcPr>
            <w:tcW w:type="dxa" w:w="2493"/>
          </w:tcPr>
          <w:p>
            <w:r>
              <w:rPr>
                <w:b w:val="0"/>
                <w:sz w:val="17"/>
              </w:rPr>
            </w:r>
            <w:r>
              <w:rPr>
                <w:b w:val="0"/>
                <w:i w:val="0"/>
                <w:sz w:val="17"/>
              </w:rPr>
              <w:t>The sensitivity uses the scenario multipliers; the full method runs the fitted relationship under each scenario's shocked path</w:t>
            </w:r>
          </w:p>
        </w:tc>
        <w:tc>
          <w:tcPr>
            <w:tcW w:type="dxa" w:w="2493"/>
          </w:tcPr>
          <w:p>
            <w:r>
              <w:rPr>
                <w:b w:val="0"/>
                <w:sz w:val="17"/>
              </w:rPr>
            </w:r>
            <w:r>
              <w:rPr>
                <w:b w:val="0"/>
                <w:i w:val="0"/>
                <w:sz w:val="17"/>
              </w:rPr>
              <w:t>One day after the fit approval</w:t>
            </w:r>
          </w:p>
        </w:tc>
      </w:tr>
      <w:tr>
        <w:tc>
          <w:tcPr>
            <w:tcW w:type="dxa" w:w="2493"/>
          </w:tcPr>
          <w:p>
            <w:r>
              <w:rPr>
                <w:b w:val="0"/>
                <w:sz w:val="17"/>
              </w:rPr>
            </w:r>
            <w:r>
              <w:rPr>
                <w:b w:val="0"/>
                <w:i w:val="0"/>
                <w:sz w:val="17"/>
              </w:rPr>
              <w:t>Macro screen, IMF WEO, RBM file</w:t>
            </w:r>
          </w:p>
        </w:tc>
        <w:tc>
          <w:tcPr>
            <w:tcW w:type="dxa" w:w="2493"/>
          </w:tcPr>
          <w:p>
            <w:r>
              <w:rPr>
                <w:b w:val="0"/>
                <w:sz w:val="17"/>
              </w:rPr>
            </w:r>
            <w:r>
              <w:rPr>
                <w:b w:val="0"/>
                <w:i w:val="0"/>
                <w:sz w:val="17"/>
              </w:rPr>
              <w:t>13</w:t>
            </w:r>
          </w:p>
        </w:tc>
        <w:tc>
          <w:tcPr>
            <w:tcW w:type="dxa" w:w="2493"/>
          </w:tcPr>
          <w:p>
            <w:r>
              <w:rPr>
                <w:b w:val="0"/>
                <w:sz w:val="17"/>
              </w:rPr>
            </w:r>
            <w:r>
              <w:rPr>
                <w:b w:val="0"/>
                <w:i w:val="0"/>
                <w:sz w:val="17"/>
              </w:rPr>
              <w:t>The five-tab screen, the WEO parser (the forecast years), the policy-rate file tab</w:t>
            </w:r>
          </w:p>
        </w:tc>
        <w:tc>
          <w:tcPr>
            <w:tcW w:type="dxa" w:w="2493"/>
          </w:tcPr>
          <w:p>
            <w:r>
              <w:rPr>
                <w:b w:val="0"/>
                <w:sz w:val="17"/>
              </w:rPr>
            </w:r>
            <w:r>
              <w:rPr>
                <w:b w:val="0"/>
                <w:i w:val="0"/>
                <w:sz w:val="17"/>
              </w:rPr>
              <w:t>One to two days</w:t>
            </w:r>
          </w:p>
        </w:tc>
      </w:tr>
      <w:tr>
        <w:tc>
          <w:tcPr>
            <w:tcW w:type="dxa" w:w="2493"/>
          </w:tcPr>
          <w:p>
            <w:r>
              <w:rPr>
                <w:b w:val="0"/>
                <w:sz w:val="17"/>
              </w:rPr>
            </w:r>
            <w:r>
              <w:rPr>
                <w:b w:val="0"/>
                <w:i w:val="0"/>
                <w:sz w:val="17"/>
              </w:rPr>
              <w:t>Audit workbooks: register, trace, pack; three modules</w:t>
            </w:r>
          </w:p>
        </w:tc>
        <w:tc>
          <w:tcPr>
            <w:tcW w:type="dxa" w:w="2493"/>
          </w:tcPr>
          <w:p>
            <w:r>
              <w:rPr>
                <w:b w:val="0"/>
                <w:sz w:val="17"/>
              </w:rPr>
            </w:r>
            <w:r>
              <w:rPr>
                <w:b w:val="0"/>
                <w:i w:val="0"/>
                <w:sz w:val="17"/>
              </w:rPr>
              <w:t>12 (CA-3, rest of CA-4)</w:t>
            </w:r>
          </w:p>
        </w:tc>
        <w:tc>
          <w:tcPr>
            <w:tcW w:type="dxa" w:w="2493"/>
          </w:tcPr>
          <w:p>
            <w:r>
              <w:rPr>
                <w:b w:val="0"/>
                <w:sz w:val="17"/>
              </w:rPr>
            </w:r>
            <w:r>
              <w:rPr>
                <w:b w:val="0"/>
                <w:i w:val="0"/>
                <w:sz w:val="17"/>
              </w:rPr>
              <w:t>The register where MAIIC signs each row, the per-record trace, the auditor's pack; IFRS 7 / IAS 1, the RBM directive, Contract Schedule 1</w:t>
            </w:r>
          </w:p>
        </w:tc>
        <w:tc>
          <w:tcPr>
            <w:tcW w:type="dxa" w:w="2493"/>
          </w:tcPr>
          <w:p>
            <w:r>
              <w:rPr>
                <w:b w:val="0"/>
                <w:sz w:val="17"/>
              </w:rPr>
            </w:r>
            <w:r>
              <w:rPr>
                <w:b w:val="0"/>
                <w:i w:val="0"/>
                <w:sz w:val="17"/>
              </w:rPr>
              <w:t>Two to three days</w:t>
            </w:r>
          </w:p>
        </w:tc>
      </w:tr>
      <w:tr>
        <w:tc>
          <w:tcPr>
            <w:tcW w:type="dxa" w:w="2493"/>
          </w:tcPr>
          <w:p>
            <w:r>
              <w:rPr>
                <w:b w:val="0"/>
                <w:sz w:val="17"/>
              </w:rPr>
            </w:r>
            <w:r>
              <w:rPr>
                <w:b w:val="0"/>
                <w:i w:val="0"/>
                <w:sz w:val="17"/>
              </w:rPr>
              <w:t>Mega Farm module</w:t>
            </w:r>
          </w:p>
        </w:tc>
        <w:tc>
          <w:tcPr>
            <w:tcW w:type="dxa" w:w="2493"/>
          </w:tcPr>
          <w:p>
            <w:r>
              <w:rPr>
                <w:b w:val="0"/>
                <w:sz w:val="17"/>
              </w:rPr>
            </w:r>
            <w:r>
              <w:rPr>
                <w:b w:val="0"/>
                <w:i w:val="0"/>
                <w:sz w:val="17"/>
              </w:rPr>
              <w:t>16</w:t>
            </w:r>
          </w:p>
        </w:tc>
        <w:tc>
          <w:tcPr>
            <w:tcW w:type="dxa" w:w="2493"/>
          </w:tcPr>
          <w:p>
            <w:r>
              <w:rPr>
                <w:b w:val="0"/>
                <w:sz w:val="17"/>
              </w:rPr>
            </w:r>
            <w:r>
              <w:rPr>
                <w:b w:val="0"/>
                <w:i w:val="0"/>
                <w:sz w:val="17"/>
              </w:rPr>
              <w:t>The programme in the ECL module under D30 with the three PD options</w:t>
            </w:r>
          </w:p>
        </w:tc>
        <w:tc>
          <w:tcPr>
            <w:tcW w:type="dxa" w:w="2493"/>
          </w:tcPr>
          <w:p>
            <w:r>
              <w:rPr>
                <w:b w:val="0"/>
                <w:sz w:val="17"/>
              </w:rPr>
            </w:r>
            <w:r>
              <w:rPr>
                <w:b w:val="0"/>
                <w:i w:val="0"/>
                <w:sz w:val="17"/>
              </w:rPr>
              <w:t>After Dr Thom's confirmation and the monthly books</w:t>
            </w:r>
          </w:p>
        </w:tc>
      </w:tr>
      <w:tr>
        <w:tc>
          <w:tcPr>
            <w:tcW w:type="dxa" w:w="2493"/>
          </w:tcPr>
          <w:p>
            <w:r>
              <w:rPr>
                <w:b w:val="0"/>
                <w:sz w:val="17"/>
              </w:rPr>
            </w:r>
            <w:r>
              <w:rPr>
                <w:b w:val="0"/>
                <w:i w:val="0"/>
                <w:sz w:val="17"/>
              </w:rPr>
              <w:t>Dark-mode sweep; help texts; the user manual's navigation chapter</w:t>
            </w:r>
          </w:p>
        </w:tc>
        <w:tc>
          <w:tcPr>
            <w:tcW w:type="dxa" w:w="2493"/>
          </w:tcPr>
          <w:p>
            <w:r>
              <w:rPr>
                <w:b w:val="0"/>
                <w:sz w:val="17"/>
              </w:rPr>
            </w:r>
            <w:r>
              <w:rPr>
                <w:b w:val="0"/>
                <w:i w:val="0"/>
                <w:sz w:val="17"/>
              </w:rPr>
              <w:t>11.6, 11.9</w:t>
            </w:r>
          </w:p>
        </w:tc>
        <w:tc>
          <w:tcPr>
            <w:tcW w:type="dxa" w:w="2493"/>
          </w:tcPr>
          <w:p>
            <w:r>
              <w:rPr>
                <w:b w:val="0"/>
                <w:sz w:val="17"/>
              </w:rPr>
            </w:r>
            <w:r>
              <w:rPr>
                <w:b w:val="0"/>
                <w:i w:val="0"/>
                <w:sz w:val="17"/>
              </w:rPr>
              <w:t>The pages that style elements directly; fifteen passages; screenshots</w:t>
            </w:r>
          </w:p>
        </w:tc>
        <w:tc>
          <w:tcPr>
            <w:tcW w:type="dxa" w:w="2493"/>
          </w:tcPr>
          <w:p>
            <w:r>
              <w:rPr>
                <w:b w:val="0"/>
                <w:sz w:val="17"/>
              </w:rPr>
            </w:r>
            <w:r>
              <w:rPr>
                <w:b w:val="0"/>
                <w:i w:val="0"/>
                <w:sz w:val="17"/>
              </w:rPr>
              <w:t>Ongoing; half a day for the texts</w:t>
            </w:r>
          </w:p>
        </w:tc>
      </w:tr>
      <w:tr>
        <w:tc>
          <w:tcPr>
            <w:tcW w:type="dxa" w:w="2493"/>
          </w:tcPr>
          <w:p>
            <w:r>
              <w:rPr>
                <w:b w:val="0"/>
                <w:sz w:val="17"/>
              </w:rPr>
            </w:r>
            <w:r>
              <w:rPr>
                <w:b w:val="0"/>
                <w:i w:val="0"/>
                <w:sz w:val="17"/>
              </w:rPr>
              <w:t>Tests for the PD and LGD services</w:t>
            </w:r>
          </w:p>
        </w:tc>
        <w:tc>
          <w:tcPr>
            <w:tcW w:type="dxa" w:w="2493"/>
          </w:tcPr>
          <w:p>
            <w:r>
              <w:rPr>
                <w:b w:val="0"/>
                <w:sz w:val="17"/>
              </w:rPr>
            </w:r>
            <w:r>
              <w:rPr>
                <w:b w:val="0"/>
                <w:i w:val="0"/>
                <w:sz w:val="17"/>
              </w:rPr>
              <w:t>6.10.1</w:t>
            </w:r>
          </w:p>
        </w:tc>
        <w:tc>
          <w:tcPr>
            <w:tcW w:type="dxa" w:w="2493"/>
          </w:tcPr>
          <w:p>
            <w:r>
              <w:rPr>
                <w:b w:val="0"/>
                <w:sz w:val="17"/>
              </w:rPr>
            </w:r>
            <w:r>
              <w:rPr>
                <w:b w:val="0"/>
                <w:i w:val="0"/>
                <w:sz w:val="17"/>
              </w:rPr>
              <w:t>The engines are proven by the bootstrap run; unit tests on a fixture are owed</w:t>
            </w:r>
          </w:p>
        </w:tc>
        <w:tc>
          <w:tcPr>
            <w:tcW w:type="dxa" w:w="2493"/>
          </w:tcPr>
          <w:p>
            <w:r>
              <w:rPr>
                <w:b w:val="0"/>
                <w:sz w:val="17"/>
              </w:rPr>
            </w:r>
            <w:r>
              <w:rPr>
                <w:b w:val="0"/>
                <w:i w:val="0"/>
                <w:sz w:val="17"/>
              </w:rPr>
              <w:t>Half a day</w:t>
            </w:r>
          </w:p>
        </w:tc>
      </w:tr>
      <w:tr>
        <w:tc>
          <w:tcPr>
            <w:tcW w:type="dxa" w:w="2493"/>
          </w:tcPr>
          <w:p>
            <w:r>
              <w:rPr>
                <w:b w:val="0"/>
                <w:sz w:val="17"/>
              </w:rPr>
            </w:r>
            <w:r>
              <w:rPr>
                <w:b w:val="0"/>
                <w:i w:val="0"/>
                <w:sz w:val="17"/>
              </w:rPr>
              <w:t>Golden numbers for the ECL and the revenue shift</w:t>
            </w:r>
          </w:p>
        </w:tc>
        <w:tc>
          <w:tcPr>
            <w:tcW w:type="dxa" w:w="2493"/>
          </w:tcPr>
          <w:p>
            <w:r>
              <w:rPr>
                <w:b w:val="0"/>
                <w:sz w:val="17"/>
              </w:rPr>
            </w:r>
            <w:r>
              <w:rPr>
                <w:b w:val="0"/>
                <w:i w:val="0"/>
                <w:sz w:val="17"/>
              </w:rPr>
              <w:t>6.10.2</w:t>
            </w:r>
          </w:p>
        </w:tc>
        <w:tc>
          <w:tcPr>
            <w:tcW w:type="dxa" w:w="2493"/>
          </w:tcPr>
          <w:p>
            <w:r>
              <w:rPr>
                <w:b w:val="0"/>
                <w:sz w:val="17"/>
              </w:rPr>
            </w:r>
            <w:r>
              <w:rPr>
                <w:b w:val="0"/>
                <w:i w:val="0"/>
                <w:sz w:val="17"/>
              </w:rPr>
              <w:t>Born on the first approved run</w:t>
            </w:r>
          </w:p>
        </w:tc>
        <w:tc>
          <w:tcPr>
            <w:tcW w:type="dxa" w:w="2493"/>
          </w:tcPr>
          <w:p>
            <w:r>
              <w:rPr>
                <w:b w:val="0"/>
                <w:sz w:val="17"/>
              </w:rPr>
            </w:r>
            <w:r>
              <w:rPr>
                <w:b w:val="0"/>
                <w:i w:val="0"/>
                <w:sz w:val="17"/>
              </w:rPr>
              <w:t>After the decisions in section 5</w:t>
            </w:r>
          </w:p>
        </w:tc>
      </w:tr>
    </w:tbl>
    <w:p/>
    <w:p>
      <w:pPr>
        <w:pStyle w:val="Heading2"/>
      </w:pPr>
      <w:r>
        <w:t>7. How to reproduce</w:t>
      </w:r>
    </w:p>
    <w:p>
      <w:pPr>
        <w:spacing w:after="120"/>
      </w:pPr>
      <w:r>
        <w:rPr>
          <w:rFonts w:ascii="Consolas" w:hAnsi="Consolas"/>
          <w:b w:val="0"/>
          <w:i w:val="0"/>
          <w:sz w:val="18"/>
        </w:rPr>
        <w:t>`</w:t>
      </w:r>
      <w:r>
        <w:rPr>
          <w:b w:val="0"/>
          <w:i w:val="0"/>
        </w:rPr>
        <w:t xml:space="preserve"> mysql -uroot -e "CREATE DATABASE maiic_ifrs9_bootstrap" php artisan --env=bootstrap eir:bootstrap --fresh --force-wipe --with-client-inputs --build --run-engines --verify php artisan --env=bootstrap eir:as-at 2025-12-31 php artisan --env=bootstrap fli:method-cards php artisan --env=bootstrap fli:correlate 2026-08 php artisan --env=bootstrap scenario:sets 2026-08 python tools/compliance/build_audit.py --all --env=bootstrap php artisan test tests/Feature/Eir tests/Feature/Ebanker tests/Feature/FLI/TransmissionMethodCatalogueTest.php tests/Feature/NavigationTest.php </w:t>
      </w:r>
      <w:r>
        <w:rPr>
          <w:rFonts w:ascii="Consolas" w:hAnsi="Consolas"/>
          <w:b w:val="0"/>
          <w:i w:val="0"/>
          <w:sz w:val="18"/>
        </w:rPr>
        <w:t>`</w:t>
      </w:r>
    </w:p>
    <w:p>
      <w:pPr>
        <w:spacing w:after="120"/>
      </w:pPr>
      <w:r>
        <w:rPr>
          <w:rFonts w:ascii="Consolas" w:hAnsi="Consolas"/>
          <w:b w:val="0"/>
          <w:i w:val="0"/>
          <w:sz w:val="18"/>
        </w:rPr>
        <w:t>.env.bootstrap</w:t>
      </w:r>
      <w:r>
        <w:rPr>
          <w:b w:val="0"/>
          <w:i w:val="0"/>
        </w:rPr>
        <w:t xml:space="preserve"> names the throwaway database and is git-ignored, like </w:t>
      </w:r>
      <w:r>
        <w:rPr>
          <w:rFonts w:ascii="Consolas" w:hAnsi="Consolas"/>
          <w:b w:val="0"/>
          <w:i w:val="0"/>
          <w:sz w:val="18"/>
        </w:rPr>
        <w:t>.env.demo</w:t>
      </w:r>
      <w:r>
        <w:rPr>
          <w:b w:val="0"/>
          <w:i w:val="0"/>
        </w:rPr>
        <w:t xml:space="preserve">. The test run above: 301 passed, 24 skipped. The 92 legacy medical tests and the five legacy FLI page tests fail on </w:t>
      </w:r>
      <w:r>
        <w:rPr>
          <w:rFonts w:ascii="Consolas" w:hAnsi="Consolas"/>
          <w:b w:val="0"/>
          <w:i w:val="0"/>
          <w:sz w:val="18"/>
        </w:rPr>
        <w:t>master</w:t>
      </w:r>
      <w:r>
        <w:rPr>
          <w:b w:val="0"/>
          <w:i w:val="0"/>
        </w:rPr>
        <w:t xml:space="preserve"> before this work and are unrelated.</w:t>
      </w:r>
    </w:p>
    <w:p>
      <w:pPr>
        <w:pStyle w:val="Heading2"/>
      </w:pPr>
      <w:r>
        <w:t>8. Files</w:t>
      </w:r>
    </w:p>
    <w:p>
      <w:pPr>
        <w:spacing w:after="120"/>
      </w:pPr>
      <w:r>
        <w:rPr>
          <w:b w:val="0"/>
          <w:i w:val="0"/>
        </w:rPr>
        <w:t xml:space="preserve">Code: </w:t>
      </w:r>
      <w:r>
        <w:rPr>
          <w:rFonts w:ascii="Consolas" w:hAnsi="Consolas"/>
          <w:b w:val="0"/>
          <w:i w:val="0"/>
          <w:sz w:val="18"/>
        </w:rPr>
        <w:t>app/Services/Ebanker/{PackLandingService,LandingZoneReader,LoanBookBuildService,TakeonLandingService,ContractInputsBuildService}.php</w:t>
      </w:r>
      <w:r>
        <w:rPr>
          <w:b w:val="0"/>
          <w:i w:val="0"/>
        </w:rPr>
        <w:t xml:space="preserve">, </w:t>
      </w:r>
      <w:r>
        <w:rPr>
          <w:rFonts w:ascii="Consolas" w:hAnsi="Consolas"/>
          <w:b w:val="0"/>
          <w:i w:val="0"/>
          <w:sz w:val="18"/>
        </w:rPr>
        <w:t>app/Services/Eir/{StagingService,EirAsAtService}.php</w:t>
      </w:r>
      <w:r>
        <w:rPr>
          <w:b w:val="0"/>
          <w:i w:val="0"/>
        </w:rPr>
        <w:t xml:space="preserve">, </w:t>
      </w:r>
      <w:r>
        <w:rPr>
          <w:rFonts w:ascii="Consolas" w:hAnsi="Consolas"/>
          <w:b w:val="0"/>
          <w:i w:val="0"/>
          <w:sz w:val="18"/>
        </w:rPr>
        <w:t>app/Services/Macro/{WorldBankFetcherService,MacroImportService}.php</w:t>
      </w:r>
      <w:r>
        <w:rPr>
          <w:b w:val="0"/>
          <w:i w:val="0"/>
        </w:rPr>
        <w:t xml:space="preserve">, </w:t>
      </w:r>
      <w:r>
        <w:rPr>
          <w:rFonts w:ascii="Consolas" w:hAnsi="Consolas"/>
          <w:b w:val="0"/>
          <w:i w:val="0"/>
          <w:sz w:val="18"/>
        </w:rPr>
        <w:t>app/Services/Fli/TransmissionMethodCatalogue.php</w:t>
      </w:r>
      <w:r>
        <w:rPr>
          <w:b w:val="0"/>
          <w:i w:val="0"/>
        </w:rPr>
        <w:t xml:space="preserve">, </w:t>
      </w:r>
      <w:r>
        <w:rPr>
          <w:rFonts w:ascii="Consolas" w:hAnsi="Consolas"/>
          <w:b w:val="0"/>
          <w:i w:val="0"/>
          <w:sz w:val="18"/>
        </w:rPr>
        <w:t>app/Support/Fli/*</w:t>
      </w:r>
      <w:r>
        <w:rPr>
          <w:b w:val="0"/>
          <w:i w:val="0"/>
        </w:rPr>
        <w:t xml:space="preserve">, </w:t>
      </w:r>
      <w:r>
        <w:rPr>
          <w:rFonts w:ascii="Consolas" w:hAnsi="Consolas"/>
          <w:b w:val="0"/>
          <w:i w:val="0"/>
          <w:sz w:val="18"/>
        </w:rPr>
        <w:t>app/Console/Commands/{LandEbankerPack,BuildLoanBooks,LockReportingPeriod,StageLoanBooks,LandTakeonWorkbook,Bootstrap,EirAsAt,ImportWorldBankMacro,FliMethodCards}.php</w:t>
      </w:r>
      <w:r>
        <w:rPr>
          <w:b w:val="0"/>
          <w:i w:val="0"/>
        </w:rPr>
        <w:t xml:space="preserve">, </w:t>
      </w:r>
      <w:r>
        <w:rPr>
          <w:rFonts w:ascii="Consolas" w:hAnsi="Consolas"/>
          <w:b w:val="0"/>
          <w:i w:val="0"/>
          <w:sz w:val="18"/>
        </w:rPr>
        <w:t>app/Http/Controllers/{EirFeedController,EirTakeonController,EirAsAtController}.php</w:t>
      </w:r>
      <w:r>
        <w:rPr>
          <w:b w:val="0"/>
          <w:i w:val="0"/>
        </w:rPr>
        <w:t xml:space="preserve">, the migrations of 8 October 2026, </w:t>
      </w:r>
      <w:r>
        <w:rPr>
          <w:rFonts w:ascii="Consolas" w:hAnsi="Consolas"/>
          <w:b w:val="0"/>
          <w:i w:val="0"/>
          <w:sz w:val="18"/>
        </w:rPr>
        <w:t>config/menu.php</w:t>
      </w:r>
      <w:r>
        <w:rPr>
          <w:b w:val="0"/>
          <w:i w:val="0"/>
        </w:rPr>
        <w:t xml:space="preserve">, </w:t>
      </w:r>
      <w:r>
        <w:rPr>
          <w:rFonts w:ascii="Consolas" w:hAnsi="Consolas"/>
          <w:b w:val="0"/>
          <w:i w:val="0"/>
          <w:sz w:val="18"/>
        </w:rPr>
        <w:t>resources/js/{Layouts/AppLayout.vue,Jetstream/SidebarNav.vue,Jetstream/DropdownMenu.vue,navAccents.js,composables/useTheme.js,Pages/Eir/{Feed,Takeon,AsAt}/Index.vue}</w:t>
      </w:r>
      <w:r>
        <w:rPr>
          <w:b w:val="0"/>
          <w:i w:val="0"/>
        </w:rPr>
        <w:t>.</w:t>
      </w:r>
    </w:p>
    <w:p>
      <w:pPr>
        <w:spacing w:after="120"/>
      </w:pPr>
      <w:r>
        <w:rPr>
          <w:b w:val="0"/>
          <w:i w:val="0"/>
        </w:rPr>
        <w:t xml:space="preserve">Inputs: </w:t>
      </w:r>
      <w:r>
        <w:rPr>
          <w:rFonts w:ascii="Consolas" w:hAnsi="Consolas"/>
          <w:b w:val="0"/>
          <w:i w:val="0"/>
          <w:sz w:val="18"/>
        </w:rPr>
        <w:t>docs/bootstrap/</w:t>
      </w:r>
      <w:r>
        <w:rPr>
          <w:b w:val="0"/>
          <w:i w:val="0"/>
        </w:rPr>
        <w:t xml:space="preserve"> (84 files in the manifest, including the original take-on workbook as received and the World Bank snapshot). Reference: </w:t>
      </w:r>
      <w:r>
        <w:rPr>
          <w:rFonts w:ascii="Consolas" w:hAnsi="Consolas"/>
          <w:b w:val="0"/>
          <w:i w:val="0"/>
          <w:sz w:val="18"/>
        </w:rPr>
        <w:t>docs/reference/</w:t>
      </w:r>
      <w:r>
        <w:rPr>
          <w:b w:val="0"/>
          <w:i w:val="0"/>
        </w:rPr>
        <w:t xml:space="preserve"> (the suite's engines and, from today, their support classes). Manuals: </w:t>
      </w:r>
      <w:r>
        <w:rPr>
          <w:rFonts w:ascii="Consolas" w:hAnsi="Consolas"/>
          <w:b w:val="0"/>
          <w:i w:val="0"/>
          <w:sz w:val="18"/>
        </w:rPr>
        <w:t>docs/manuals/installation/09-data-loading.md</w:t>
      </w:r>
      <w:r>
        <w:rPr>
          <w:b w:val="0"/>
          <w:i w:val="0"/>
        </w:rPr>
        <w:t xml:space="preserve"> section 9.8 rewritten.</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Segoe UI"/>
      <w:b/>
      <w:bCs/>
      <w:color w:val="1B2A4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Segoe UI"/>
      <w:b/>
      <w:bCs/>
      <w:color w:val="E07B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Segoe UI"/>
      <w:b/>
      <w:bCs/>
      <w:color w:val="1B2A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MAIIC_After_Build_Report_2026-10-08</dc:title>
  <dc:subject/>
  <dc:creator>Dupleix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