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B6470"/>
          <w:sz w:val="18"/>
        </w:rPr>
        <w:t>MAIIC IFRS 9 and EIR system</w:t>
      </w:r>
    </w:p>
    <w:p>
      <w:pPr>
        <w:pStyle w:val="Heading1"/>
      </w:pPr>
      <w:r>
        <w:t>PD Calibration Specification v1</w:t>
      </w:r>
    </w:p>
    <w:p>
      <w:r>
        <w:rPr>
          <w:color w:val="1B2A41"/>
          <w:sz w:val="24"/>
        </w:rPr>
        <w:t>Making the probability of default steadier and more believable, before anyone relies on it more</w:t>
      </w:r>
    </w:p>
    <w:p>
      <w:r>
        <w:rPr>
          <w:color w:val="5B6470"/>
          <w:sz w:val="18"/>
        </w:rPr>
        <w:t>16 October 2026</w:t>
      </w:r>
    </w:p>
    <w:p>
      <w:r>
        <w:rPr>
          <w:color w:val="5B6470"/>
          <w:sz w:val="18"/>
        </w:rPr>
        <w:t>Edward Mazibuko, Director, Data Analytics, Dupleix Institute</w:t>
      </w:r>
    </w:p>
    <w:p>
      <w:r>
        <w:rPr>
          <w:color w:val="5B6470"/>
          <w:sz w:val="18"/>
        </w:rPr>
        <w:t>For Dr Thomson Kumwenda (CFO), MAIIC Finance, Credit and Risk; a companion to the PD at Origination Specification v1</w:t>
      </w:r>
    </w:p>
    <w:p>
      <w:r>
        <w:rPr>
          <w:color w:val="5B6470"/>
          <w:sz w:val="18"/>
        </w:rPr>
        <w:t>Proposed: for review and decision</w:t>
      </w:r>
    </w:p>
    <w:p>
      <w:pPr>
        <w:pStyle w:val="Heading2"/>
      </w:pPr>
      <w:r>
        <w:t>1. The idea in one paragraph</w:t>
      </w:r>
    </w:p>
    <w:p>
      <w:pPr>
        <w:spacing w:after="120"/>
      </w:pPr>
      <w:r>
        <w:rPr>
          <w:b w:val="0"/>
          <w:i w:val="0"/>
        </w:rPr>
        <w:t>A probability of default (PD) is a forecast built from history. To estimate how likely a Stage 1 loan is to default in the next year, you look back a year, take all the loans that were in Stage 1 then, and count how many of them have since defaulted. If 3 out of 30 did, the PD is about 10%. Like any estimate from a sample, it is only as good as the sample: a weather forecaster who has watched the sky for one month should not be too confident about next year's rainfall. This specification looks at how MAIIC's PDs are worked out today, explains why they move so much and sometimes in the wrong direction, and proposes six changes that make them steadier and more believable. It changes nothing until each change is approved.</w:t>
      </w:r>
    </w:p>
    <w:p>
      <w:pPr>
        <w:pStyle w:val="Heading2"/>
      </w:pPr>
      <w:r>
        <w:t>2. Why this matters now</w:t>
      </w:r>
    </w:p>
    <w:p>
      <w:pPr>
        <w:spacing w:after="120"/>
      </w:pPr>
      <w:r>
        <w:rPr>
          <w:b w:val="0"/>
          <w:i w:val="0"/>
        </w:rPr>
        <w:t>The PDs are not only a number for a future test. They drive the expected credit loss booked every month: a Stage 1 loan's allowance is its exposure times its 12-month PD times its loss given default. At September 2026, a Stage 1 loan in MAIIC's own book carries a 12-month PD of about 34%, which is high for a performing loan. And the PD-change test of the PD at Origination Specification (setting 9), running in shadow, would move 27 of MAIIC's 40 tested Stage 1 loans to Stage 2, nearly all because their segment's PD rose five- or six-fold. Before that test is ever adopted, and for the sake of the booked allowance now, the PDs themselves need to be sound.</w:t>
      </w:r>
    </w:p>
    <w:p>
      <w:pPr>
        <w:pStyle w:val="Heading2"/>
      </w:pPr>
      <w:r>
        <w:t>3. How the PD is worked out today</w:t>
      </w:r>
    </w:p>
    <w:tbl>
      <w:tblPr>
        <w:tblStyle w:val="TableGrid"/>
        <w:tblW w:type="auto" w:w="0"/>
        <w:tblLook w:firstColumn="1" w:firstRow="1" w:lastColumn="0" w:lastRow="0" w:noHBand="0" w:noVBand="1" w:val="04A0"/>
      </w:tblPr>
      <w:tblGrid>
        <w:gridCol w:w="4986"/>
        <w:gridCol w:w="4986"/>
      </w:tblGrid>
      <w:tr>
        <w:tc>
          <w:tcPr>
            <w:tcW w:type="dxa" w:w="4986"/>
            <w:shd w:val="clear" w:color="auto" w:fill="1B2A41"/>
          </w:tcPr>
          <w:p>
            <w:r>
              <w:rPr>
                <w:b/>
                <w:color w:val="FFFFFF"/>
                <w:sz w:val="17"/>
              </w:rPr>
            </w:r>
            <w:r>
              <w:rPr>
                <w:b/>
                <w:i w:val="0"/>
                <w:color w:val="FFFFFF"/>
                <w:sz w:val="17"/>
              </w:rPr>
              <w:t>Step</w:t>
            </w:r>
          </w:p>
        </w:tc>
        <w:tc>
          <w:tcPr>
            <w:tcW w:type="dxa" w:w="4986"/>
            <w:shd w:val="clear" w:color="auto" w:fill="1B2A41"/>
          </w:tcPr>
          <w:p>
            <w:r>
              <w:rPr>
                <w:b/>
                <w:color w:val="FFFFFF"/>
                <w:sz w:val="17"/>
              </w:rPr>
            </w:r>
            <w:r>
              <w:rPr>
                <w:b/>
                <w:i w:val="0"/>
                <w:color w:val="FFFFFF"/>
                <w:sz w:val="17"/>
              </w:rPr>
              <w:t>What the system does</w:t>
            </w:r>
          </w:p>
        </w:tc>
      </w:tr>
      <w:tr>
        <w:tc>
          <w:tcPr>
            <w:tcW w:type="dxa" w:w="4986"/>
          </w:tcPr>
          <w:p>
            <w:r>
              <w:rPr>
                <w:b w:val="0"/>
                <w:sz w:val="17"/>
              </w:rPr>
            </w:r>
            <w:r>
              <w:rPr>
                <w:b w:val="0"/>
                <w:i w:val="0"/>
                <w:sz w:val="17"/>
              </w:rPr>
              <w:t>The group (segment)</w:t>
            </w:r>
          </w:p>
        </w:tc>
        <w:tc>
          <w:tcPr>
            <w:tcW w:type="dxa" w:w="4986"/>
          </w:tcPr>
          <w:p>
            <w:r>
              <w:rPr>
                <w:b w:val="0"/>
                <w:sz w:val="17"/>
              </w:rPr>
            </w:r>
            <w:r>
              <w:rPr>
                <w:b w:val="0"/>
                <w:i w:val="0"/>
                <w:sz w:val="17"/>
              </w:rPr>
              <w:t>Loans are grouped by portfolio (MAIIC Industrial, MAIIC Agricultural, MAIIC Term, FInES Industrial, FInES Agricultural) and by stage</w:t>
            </w:r>
          </w:p>
        </w:tc>
      </w:tr>
      <w:tr>
        <w:tc>
          <w:tcPr>
            <w:tcW w:type="dxa" w:w="4986"/>
          </w:tcPr>
          <w:p>
            <w:r>
              <w:rPr>
                <w:b w:val="0"/>
                <w:sz w:val="17"/>
              </w:rPr>
            </w:r>
            <w:r>
              <w:rPr>
                <w:b w:val="0"/>
                <w:i w:val="0"/>
                <w:sz w:val="17"/>
              </w:rPr>
              <w:t>The look-back (window)</w:t>
            </w:r>
          </w:p>
        </w:tc>
        <w:tc>
          <w:tcPr>
            <w:tcW w:type="dxa" w:w="4986"/>
          </w:tcPr>
          <w:p>
            <w:r>
              <w:rPr>
                <w:b w:val="0"/>
                <w:sz w:val="17"/>
              </w:rPr>
            </w:r>
            <w:r>
              <w:rPr>
                <w:b w:val="0"/>
                <w:i w:val="0"/>
                <w:sz w:val="17"/>
              </w:rPr>
              <w:t>One window of 12 months, ending at the reporting month: the loans in each group at its start</w:t>
            </w:r>
          </w:p>
        </w:tc>
      </w:tr>
      <w:tr>
        <w:tc>
          <w:tcPr>
            <w:tcW w:type="dxa" w:w="4986"/>
          </w:tcPr>
          <w:p>
            <w:r>
              <w:rPr>
                <w:b w:val="0"/>
                <w:sz w:val="17"/>
              </w:rPr>
            </w:r>
            <w:r>
              <w:rPr>
                <w:b w:val="0"/>
                <w:i w:val="0"/>
                <w:sz w:val="17"/>
              </w:rPr>
              <w:t>What counts as default</w:t>
            </w:r>
          </w:p>
        </w:tc>
        <w:tc>
          <w:tcPr>
            <w:tcW w:type="dxa" w:w="4986"/>
          </w:tcPr>
          <w:p>
            <w:r>
              <w:rPr>
                <w:b w:val="0"/>
                <w:sz w:val="17"/>
              </w:rPr>
            </w:r>
            <w:r>
              <w:rPr>
                <w:b w:val="0"/>
                <w:i w:val="0"/>
                <w:sz w:val="17"/>
              </w:rPr>
              <w:t>Reaching Stage 3 (over 180 days overdue under the staging policy in force), or being written off, by the window's end</w:t>
            </w:r>
          </w:p>
        </w:tc>
      </w:tr>
      <w:tr>
        <w:tc>
          <w:tcPr>
            <w:tcW w:type="dxa" w:w="4986"/>
          </w:tcPr>
          <w:p>
            <w:r>
              <w:rPr>
                <w:b w:val="0"/>
                <w:sz w:val="17"/>
              </w:rPr>
            </w:r>
            <w:r>
              <w:rPr>
                <w:b w:val="0"/>
                <w:i w:val="0"/>
                <w:sz w:val="17"/>
              </w:rPr>
              <w:t>The rate</w:t>
            </w:r>
          </w:p>
        </w:tc>
        <w:tc>
          <w:tcPr>
            <w:tcW w:type="dxa" w:w="4986"/>
          </w:tcPr>
          <w:p>
            <w:r>
              <w:rPr>
                <w:b w:val="0"/>
                <w:sz w:val="17"/>
              </w:rPr>
            </w:r>
            <w:r>
              <w:rPr>
                <w:b w:val="0"/>
                <w:i w:val="0"/>
                <w:sz w:val="17"/>
              </w:rPr>
              <w:t xml:space="preserve">The share of the group's </w:t>
            </w:r>
            <w:r>
              <w:rPr>
                <w:b/>
                <w:i w:val="0"/>
                <w:sz w:val="17"/>
              </w:rPr>
              <w:t>balance</w:t>
            </w:r>
            <w:r>
              <w:rPr>
                <w:b w:val="0"/>
                <w:i w:val="0"/>
                <w:sz w:val="17"/>
              </w:rPr>
              <w:t xml:space="preserve"> at the start that defaulted. One large loan weighs as much as many small ones</w:t>
            </w:r>
          </w:p>
        </w:tc>
      </w:tr>
      <w:tr>
        <w:tc>
          <w:tcPr>
            <w:tcW w:type="dxa" w:w="4986"/>
          </w:tcPr>
          <w:p>
            <w:r>
              <w:rPr>
                <w:b w:val="0"/>
                <w:sz w:val="17"/>
              </w:rPr>
            </w:r>
            <w:r>
              <w:rPr>
                <w:b w:val="0"/>
                <w:i w:val="0"/>
                <w:sz w:val="17"/>
              </w:rPr>
              <w:t>Too few loans</w:t>
            </w:r>
          </w:p>
        </w:tc>
        <w:tc>
          <w:tcPr>
            <w:tcW w:type="dxa" w:w="4986"/>
          </w:tcPr>
          <w:p>
            <w:r>
              <w:rPr>
                <w:b w:val="0"/>
                <w:sz w:val="17"/>
              </w:rPr>
            </w:r>
            <w:r>
              <w:rPr>
                <w:b w:val="0"/>
                <w:i w:val="0"/>
                <w:sz w:val="17"/>
              </w:rPr>
              <w:t>A group with fewer than 10 loans, or no default, takes its portfolio's rate instead, and failing that the whole book's</w:t>
            </w:r>
          </w:p>
        </w:tc>
      </w:tr>
      <w:tr>
        <w:tc>
          <w:tcPr>
            <w:tcW w:type="dxa" w:w="4986"/>
          </w:tcPr>
          <w:p>
            <w:r>
              <w:rPr>
                <w:b w:val="0"/>
                <w:sz w:val="17"/>
              </w:rPr>
            </w:r>
            <w:r>
              <w:rPr>
                <w:b w:val="0"/>
                <w:i w:val="0"/>
                <w:sz w:val="17"/>
              </w:rPr>
              <w:t>Mega Farm</w:t>
            </w:r>
          </w:p>
        </w:tc>
        <w:tc>
          <w:tcPr>
            <w:tcW w:type="dxa" w:w="4986"/>
          </w:tcPr>
          <w:p>
            <w:r>
              <w:rPr>
                <w:b w:val="0"/>
                <w:sz w:val="17"/>
              </w:rPr>
            </w:r>
            <w:r>
              <w:rPr>
                <w:b w:val="0"/>
                <w:i w:val="0"/>
                <w:sz w:val="17"/>
              </w:rPr>
              <w:t>Measured separately, by the Mega Farm module, and not part of this specification</w:t>
            </w:r>
          </w:p>
        </w:tc>
      </w:tr>
    </w:tbl>
    <w:p/>
    <w:p>
      <w:pPr>
        <w:pStyle w:val="Heading2"/>
      </w:pPr>
      <w:r>
        <w:t>4. What is wrong with it</w:t>
      </w:r>
    </w:p>
    <w:p>
      <w:pPr>
        <w:spacing w:after="120"/>
      </w:pPr>
      <w:r>
        <w:rPr>
          <w:b w:val="0"/>
          <w:i w:val="0"/>
        </w:rPr>
        <w:t>All figures below are from a fresh bootstrap built from MAIIC's packs, for MAIIC's own book.</w:t>
      </w:r>
    </w:p>
    <w:p>
      <w:pPr>
        <w:spacing w:after="120"/>
      </w:pPr>
      <w:r>
        <w:rPr>
          <w:b/>
          <w:i w:val="0"/>
        </w:rPr>
        <w:t>1. The samples are very small.</w:t>
      </w:r>
      <w:r>
        <w:rPr>
          <w:b w:val="0"/>
          <w:i w:val="0"/>
        </w:rPr>
        <w:t xml:space="preserve"> At the start of the window ending September 2026, MAIIC's whole Stage 1 book is 32 loans, and the groups hold between 0 and 16. In a group of 10 loans, each default moves the PD by 10 points. Ten loans and one default is far too low a bar for a rate you then apply for a year.</w:t>
      </w:r>
    </w:p>
    <w:p>
      <w:pPr>
        <w:spacing w:after="120"/>
      </w:pPr>
      <w:r>
        <w:rPr>
          <w:b/>
          <w:i w:val="0"/>
        </w:rPr>
        <w:t>2. Counting by balance lets one loan decide.</w:t>
      </w:r>
      <w:r>
        <w:rPr>
          <w:b w:val="0"/>
          <w:i w:val="0"/>
        </w:rPr>
        <w:t xml:space="preserve"> FInES Industrial, Stage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1B2A41"/>
          </w:tcPr>
          <w:p>
            <w:r>
              <w:rPr>
                <w:b/>
                <w:color w:val="FFFFFF"/>
                <w:sz w:val="17"/>
              </w:rPr>
            </w:r>
            <w:r>
              <w:rPr>
                <w:b/>
                <w:i w:val="0"/>
                <w:color w:val="FFFFFF"/>
                <w:sz w:val="17"/>
              </w:rPr>
              <w:t>Window ending</w:t>
            </w:r>
          </w:p>
        </w:tc>
        <w:tc>
          <w:tcPr>
            <w:tcW w:type="dxa" w:w="1994"/>
            <w:shd w:val="clear" w:color="auto" w:fill="1B2A41"/>
          </w:tcPr>
          <w:p>
            <w:r>
              <w:rPr>
                <w:b/>
                <w:color w:val="FFFFFF"/>
                <w:sz w:val="17"/>
              </w:rPr>
            </w:r>
            <w:r>
              <w:rPr>
                <w:b/>
                <w:i w:val="0"/>
                <w:color w:val="FFFFFF"/>
                <w:sz w:val="17"/>
              </w:rPr>
              <w:t>Loans at start</w:t>
            </w:r>
          </w:p>
        </w:tc>
        <w:tc>
          <w:tcPr>
            <w:tcW w:type="dxa" w:w="1994"/>
            <w:shd w:val="clear" w:color="auto" w:fill="1B2A41"/>
          </w:tcPr>
          <w:p>
            <w:r>
              <w:rPr>
                <w:b/>
                <w:color w:val="FFFFFF"/>
                <w:sz w:val="17"/>
              </w:rPr>
            </w:r>
            <w:r>
              <w:rPr>
                <w:b/>
                <w:i w:val="0"/>
                <w:color w:val="FFFFFF"/>
                <w:sz w:val="17"/>
              </w:rPr>
              <w:t>Defaulted</w:t>
            </w:r>
          </w:p>
        </w:tc>
        <w:tc>
          <w:tcPr>
            <w:tcW w:type="dxa" w:w="1994"/>
            <w:shd w:val="clear" w:color="auto" w:fill="1B2A41"/>
          </w:tcPr>
          <w:p>
            <w:r>
              <w:rPr>
                <w:b/>
                <w:color w:val="FFFFFF"/>
                <w:sz w:val="17"/>
              </w:rPr>
            </w:r>
            <w:r>
              <w:rPr>
                <w:b/>
                <w:i w:val="0"/>
                <w:color w:val="FFFFFF"/>
                <w:sz w:val="17"/>
              </w:rPr>
              <w:t>By number of loans</w:t>
            </w:r>
          </w:p>
        </w:tc>
        <w:tc>
          <w:tcPr>
            <w:tcW w:type="dxa" w:w="1994"/>
            <w:shd w:val="clear" w:color="auto" w:fill="1B2A41"/>
          </w:tcPr>
          <w:p>
            <w:r>
              <w:rPr>
                <w:b/>
                <w:color w:val="FFFFFF"/>
                <w:sz w:val="17"/>
              </w:rPr>
            </w:r>
            <w:r>
              <w:rPr>
                <w:b/>
                <w:i w:val="0"/>
                <w:color w:val="FFFFFF"/>
                <w:sz w:val="17"/>
              </w:rPr>
              <w:t>By balance (today's method)</w:t>
            </w:r>
          </w:p>
        </w:tc>
      </w:tr>
      <w:tr>
        <w:tc>
          <w:tcPr>
            <w:tcW w:type="dxa" w:w="1994"/>
          </w:tcPr>
          <w:p>
            <w:r>
              <w:rPr>
                <w:b w:val="0"/>
                <w:sz w:val="17"/>
              </w:rPr>
            </w:r>
            <w:r>
              <w:rPr>
                <w:b w:val="0"/>
                <w:i w:val="0"/>
                <w:sz w:val="17"/>
              </w:rPr>
              <w:t>December 2025</w:t>
            </w:r>
          </w:p>
        </w:tc>
        <w:tc>
          <w:tcPr>
            <w:tcW w:type="dxa" w:w="1994"/>
          </w:tcPr>
          <w:p>
            <w:r>
              <w:rPr>
                <w:b w:val="0"/>
                <w:sz w:val="17"/>
              </w:rPr>
            </w:r>
            <w:r>
              <w:rPr>
                <w:b w:val="0"/>
                <w:i w:val="0"/>
                <w:sz w:val="17"/>
              </w:rPr>
              <w:t>16</w:t>
            </w:r>
          </w:p>
        </w:tc>
        <w:tc>
          <w:tcPr>
            <w:tcW w:type="dxa" w:w="1994"/>
          </w:tcPr>
          <w:p>
            <w:r>
              <w:rPr>
                <w:b w:val="0"/>
                <w:sz w:val="17"/>
              </w:rPr>
            </w:r>
            <w:r>
              <w:rPr>
                <w:b w:val="0"/>
                <w:i w:val="0"/>
                <w:sz w:val="17"/>
              </w:rPr>
              <w:t>4</w:t>
            </w:r>
          </w:p>
        </w:tc>
        <w:tc>
          <w:tcPr>
            <w:tcW w:type="dxa" w:w="1994"/>
          </w:tcPr>
          <w:p>
            <w:r>
              <w:rPr>
                <w:b w:val="0"/>
                <w:sz w:val="17"/>
              </w:rPr>
            </w:r>
            <w:r>
              <w:rPr>
                <w:b w:val="0"/>
                <w:i w:val="0"/>
                <w:sz w:val="17"/>
              </w:rPr>
              <w:t>25%</w:t>
            </w:r>
          </w:p>
        </w:tc>
        <w:tc>
          <w:tcPr>
            <w:tcW w:type="dxa" w:w="1994"/>
          </w:tcPr>
          <w:p>
            <w:r>
              <w:rPr>
                <w:b w:val="0"/>
                <w:sz w:val="17"/>
              </w:rPr>
            </w:r>
            <w:r>
              <w:rPr>
                <w:b w:val="0"/>
                <w:i w:val="0"/>
                <w:sz w:val="17"/>
              </w:rPr>
              <w:t>7.15%</w:t>
            </w:r>
          </w:p>
        </w:tc>
      </w:tr>
      <w:tr>
        <w:tc>
          <w:tcPr>
            <w:tcW w:type="dxa" w:w="1994"/>
          </w:tcPr>
          <w:p>
            <w:r>
              <w:rPr>
                <w:b w:val="0"/>
                <w:sz w:val="17"/>
              </w:rPr>
            </w:r>
            <w:r>
              <w:rPr>
                <w:b w:val="0"/>
                <w:i w:val="0"/>
                <w:sz w:val="17"/>
              </w:rPr>
              <w:t>September 2026</w:t>
            </w:r>
          </w:p>
        </w:tc>
        <w:tc>
          <w:tcPr>
            <w:tcW w:type="dxa" w:w="1994"/>
          </w:tcPr>
          <w:p>
            <w:r>
              <w:rPr>
                <w:b w:val="0"/>
                <w:sz w:val="17"/>
              </w:rPr>
            </w:r>
            <w:r>
              <w:rPr>
                <w:b w:val="0"/>
                <w:i w:val="0"/>
                <w:sz w:val="17"/>
              </w:rPr>
              <w:t>10</w:t>
            </w:r>
          </w:p>
        </w:tc>
        <w:tc>
          <w:tcPr>
            <w:tcW w:type="dxa" w:w="1994"/>
          </w:tcPr>
          <w:p>
            <w:r>
              <w:rPr>
                <w:b w:val="0"/>
                <w:sz w:val="17"/>
              </w:rPr>
            </w:r>
            <w:r>
              <w:rPr>
                <w:b w:val="0"/>
                <w:i w:val="0"/>
                <w:sz w:val="17"/>
              </w:rPr>
              <w:t>3</w:t>
            </w:r>
          </w:p>
        </w:tc>
        <w:tc>
          <w:tcPr>
            <w:tcW w:type="dxa" w:w="1994"/>
          </w:tcPr>
          <w:p>
            <w:r>
              <w:rPr>
                <w:b w:val="0"/>
                <w:sz w:val="17"/>
              </w:rPr>
            </w:r>
            <w:r>
              <w:rPr>
                <w:b w:val="0"/>
                <w:i w:val="0"/>
                <w:sz w:val="17"/>
              </w:rPr>
              <w:t>30%</w:t>
            </w:r>
          </w:p>
        </w:tc>
        <w:tc>
          <w:tcPr>
            <w:tcW w:type="dxa" w:w="1994"/>
          </w:tcPr>
          <w:p>
            <w:r>
              <w:rPr>
                <w:b w:val="0"/>
                <w:sz w:val="17"/>
              </w:rPr>
            </w:r>
            <w:r>
              <w:rPr>
                <w:b w:val="0"/>
                <w:i w:val="0"/>
                <w:sz w:val="17"/>
              </w:rPr>
              <w:t>44.29%</w:t>
            </w:r>
          </w:p>
        </w:tc>
      </w:tr>
    </w:tbl>
    <w:p/>
    <w:p>
      <w:pPr>
        <w:spacing w:after="120"/>
      </w:pPr>
      <w:r>
        <w:rPr>
          <w:b w:val="0"/>
          <w:i w:val="0"/>
        </w:rPr>
        <w:t>The share of borrowers who defaulted barely changed (25% to 30%). The balance-weighted PD went from 7% to 44% because, in the second window, one of the three defaulters was a large loan. That is most of the six-fold rise the shadow test flagged.</w:t>
      </w:r>
    </w:p>
    <w:p>
      <w:pPr>
        <w:spacing w:after="120"/>
      </w:pPr>
      <w:r>
        <w:rPr>
          <w:b/>
          <w:i w:val="0"/>
        </w:rPr>
        <w:t>3. One window makes the PD jumpy.</w:t>
      </w:r>
      <w:r>
        <w:rPr>
          <w:b w:val="0"/>
          <w:i w:val="0"/>
        </w:rPr>
        <w:t xml:space="preserve"> Because only the latest 12 months count, the PD follows last year's experience exactly. The whole book's Stage 1 PD went from 15.2% in December 2025 to 33.7% in September 2026.</w:t>
      </w:r>
    </w:p>
    <w:p>
      <w:pPr>
        <w:spacing w:after="120"/>
      </w:pPr>
      <w:r>
        <w:rPr>
          <w:b/>
          <w:i w:val="0"/>
        </w:rPr>
        <w:t>4. The stages are in the wrong order.</w:t>
      </w:r>
      <w:r>
        <w:rPr>
          <w:b w:val="0"/>
          <w:i w:val="0"/>
        </w:rPr>
        <w:t xml:space="preserve"> A loan in Stage 2 has, by definition, already shown a significant increase in risk, so its PD must be higher than a Stage 1 loan's. In September 2026 it is lower:</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B2A41"/>
          </w:tcPr>
          <w:p>
            <w:r>
              <w:rPr>
                <w:b/>
                <w:color w:val="FFFFFF"/>
                <w:sz w:val="17"/>
              </w:rPr>
            </w:r>
            <w:r>
              <w:rPr>
                <w:b/>
                <w:i w:val="0"/>
                <w:color w:val="FFFFFF"/>
                <w:sz w:val="17"/>
              </w:rPr>
              <w:t>Group</w:t>
            </w:r>
          </w:p>
        </w:tc>
        <w:tc>
          <w:tcPr>
            <w:tcW w:type="dxa" w:w="3324"/>
            <w:shd w:val="clear" w:color="auto" w:fill="1B2A41"/>
          </w:tcPr>
          <w:p>
            <w:r>
              <w:rPr>
                <w:b/>
                <w:color w:val="FFFFFF"/>
                <w:sz w:val="17"/>
              </w:rPr>
            </w:r>
            <w:r>
              <w:rPr>
                <w:b/>
                <w:i w:val="0"/>
                <w:color w:val="FFFFFF"/>
                <w:sz w:val="17"/>
              </w:rPr>
              <w:t>Stage 1 PD</w:t>
            </w:r>
          </w:p>
        </w:tc>
        <w:tc>
          <w:tcPr>
            <w:tcW w:type="dxa" w:w="3324"/>
            <w:shd w:val="clear" w:color="auto" w:fill="1B2A41"/>
          </w:tcPr>
          <w:p>
            <w:r>
              <w:rPr>
                <w:b/>
                <w:color w:val="FFFFFF"/>
                <w:sz w:val="17"/>
              </w:rPr>
            </w:r>
            <w:r>
              <w:rPr>
                <w:b/>
                <w:i w:val="0"/>
                <w:color w:val="FFFFFF"/>
                <w:sz w:val="17"/>
              </w:rPr>
              <w:t>Stage 2 PD</w:t>
            </w:r>
          </w:p>
        </w:tc>
      </w:tr>
      <w:tr>
        <w:tc>
          <w:tcPr>
            <w:tcW w:type="dxa" w:w="3324"/>
          </w:tcPr>
          <w:p>
            <w:r>
              <w:rPr>
                <w:b w:val="0"/>
                <w:sz w:val="17"/>
              </w:rPr>
            </w:r>
            <w:r>
              <w:rPr>
                <w:b w:val="0"/>
                <w:i w:val="0"/>
                <w:sz w:val="17"/>
              </w:rPr>
              <w:t>Whole book</w:t>
            </w:r>
          </w:p>
        </w:tc>
        <w:tc>
          <w:tcPr>
            <w:tcW w:type="dxa" w:w="3324"/>
          </w:tcPr>
          <w:p>
            <w:r>
              <w:rPr>
                <w:b w:val="0"/>
                <w:sz w:val="17"/>
              </w:rPr>
            </w:r>
            <w:r>
              <w:rPr>
                <w:b w:val="0"/>
                <w:i w:val="0"/>
                <w:sz w:val="17"/>
              </w:rPr>
              <w:t>33.7%</w:t>
            </w:r>
          </w:p>
        </w:tc>
        <w:tc>
          <w:tcPr>
            <w:tcW w:type="dxa" w:w="3324"/>
          </w:tcPr>
          <w:p>
            <w:r>
              <w:rPr>
                <w:b w:val="0"/>
                <w:sz w:val="17"/>
              </w:rPr>
            </w:r>
            <w:r>
              <w:rPr>
                <w:b w:val="0"/>
                <w:i w:val="0"/>
                <w:sz w:val="17"/>
              </w:rPr>
              <w:t>26.3%</w:t>
            </w:r>
          </w:p>
        </w:tc>
      </w:tr>
      <w:tr>
        <w:tc>
          <w:tcPr>
            <w:tcW w:type="dxa" w:w="3324"/>
          </w:tcPr>
          <w:p>
            <w:r>
              <w:rPr>
                <w:b w:val="0"/>
                <w:sz w:val="17"/>
              </w:rPr>
            </w:r>
            <w:r>
              <w:rPr>
                <w:b w:val="0"/>
                <w:i w:val="0"/>
                <w:sz w:val="17"/>
              </w:rPr>
              <w:t>MAIIC Industrial</w:t>
            </w:r>
          </w:p>
        </w:tc>
        <w:tc>
          <w:tcPr>
            <w:tcW w:type="dxa" w:w="3324"/>
          </w:tcPr>
          <w:p>
            <w:r>
              <w:rPr>
                <w:b w:val="0"/>
                <w:sz w:val="17"/>
              </w:rPr>
            </w:r>
            <w:r>
              <w:rPr>
                <w:b w:val="0"/>
                <w:i w:val="0"/>
                <w:sz w:val="17"/>
              </w:rPr>
              <w:t>25.9%</w:t>
            </w:r>
          </w:p>
        </w:tc>
        <w:tc>
          <w:tcPr>
            <w:tcW w:type="dxa" w:w="3324"/>
          </w:tcPr>
          <w:p>
            <w:r>
              <w:rPr>
                <w:b w:val="0"/>
                <w:sz w:val="17"/>
              </w:rPr>
            </w:r>
            <w:r>
              <w:rPr>
                <w:b w:val="0"/>
                <w:i w:val="0"/>
                <w:sz w:val="17"/>
              </w:rPr>
              <w:t>21.2%</w:t>
            </w:r>
          </w:p>
        </w:tc>
      </w:tr>
      <w:tr>
        <w:tc>
          <w:tcPr>
            <w:tcW w:type="dxa" w:w="3324"/>
          </w:tcPr>
          <w:p>
            <w:r>
              <w:rPr>
                <w:b w:val="0"/>
                <w:sz w:val="17"/>
              </w:rPr>
            </w:r>
            <w:r>
              <w:rPr>
                <w:b w:val="0"/>
                <w:i w:val="0"/>
                <w:sz w:val="17"/>
              </w:rPr>
              <w:t>FInES Industrial</w:t>
            </w:r>
          </w:p>
        </w:tc>
        <w:tc>
          <w:tcPr>
            <w:tcW w:type="dxa" w:w="3324"/>
          </w:tcPr>
          <w:p>
            <w:r>
              <w:rPr>
                <w:b w:val="0"/>
                <w:sz w:val="17"/>
              </w:rPr>
            </w:r>
            <w:r>
              <w:rPr>
                <w:b w:val="0"/>
                <w:i w:val="0"/>
                <w:sz w:val="17"/>
              </w:rPr>
              <w:t>44.3%</w:t>
            </w:r>
          </w:p>
        </w:tc>
        <w:tc>
          <w:tcPr>
            <w:tcW w:type="dxa" w:w="3324"/>
          </w:tcPr>
          <w:p>
            <w:r>
              <w:rPr>
                <w:b w:val="0"/>
                <w:sz w:val="17"/>
              </w:rPr>
            </w:r>
            <w:r>
              <w:rPr>
                <w:b w:val="0"/>
                <w:i w:val="0"/>
                <w:sz w:val="17"/>
              </w:rPr>
              <w:t>35.3%</w:t>
            </w:r>
          </w:p>
        </w:tc>
      </w:tr>
    </w:tbl>
    <w:p/>
    <w:p>
      <w:pPr>
        <w:spacing w:after="120"/>
      </w:pPr>
      <w:r>
        <w:rPr>
          <w:b w:val="0"/>
          <w:i w:val="0"/>
        </w:rPr>
        <w:t>A calibrated model cannot do that; a sample this small and this jumpy can.</w:t>
      </w:r>
    </w:p>
    <w:p>
      <w:pPr>
        <w:spacing w:after="120"/>
      </w:pPr>
      <w:r>
        <w:rPr>
          <w:b/>
          <w:i w:val="0"/>
        </w:rPr>
        <w:t>5. The fallback is all or nothing.</w:t>
      </w:r>
      <w:r>
        <w:rPr>
          <w:b w:val="0"/>
          <w:i w:val="0"/>
        </w:rPr>
        <w:t xml:space="preserve"> A group with 9 loans takes its parent's rate entirely and ignores its own experience; a group with 10 loans uses its own rate entirely, however noisy. MAIIC Term has no Stage 1 loans at the window start and borrows the whole book's 33.7%.</w:t>
      </w:r>
    </w:p>
    <w:p>
      <w:pPr>
        <w:spacing w:after="120"/>
      </w:pPr>
      <w:r>
        <w:rPr>
          <w:b/>
          <w:i w:val="0"/>
        </w:rPr>
        <w:t>6. The meaning of "default" moves with the staging policy.</w:t>
      </w:r>
      <w:r>
        <w:rPr>
          <w:b w:val="0"/>
          <w:i w:val="0"/>
        </w:rPr>
        <w:t xml:space="preserve"> Default is Stage 3, and Stage 3 is whatever the staging policy says. If MAIIC adopts directive-aligned staging, a short-term loan reaches Stage 3 at 91 days instead of 181, so the history of defaults, and every PD, changes too, even though no borrower behaved differently.</w:t>
      </w:r>
    </w:p>
    <w:p>
      <w:pPr>
        <w:pStyle w:val="Heading2"/>
      </w:pPr>
      <w:r>
        <w:t>5. What a better method gives, on the same data</w:t>
      </w:r>
    </w:p>
    <w:p>
      <w:pPr>
        <w:spacing w:after="120"/>
      </w:pPr>
      <w:r>
        <w:rPr>
          <w:b w:val="0"/>
          <w:i w:val="0"/>
        </w:rPr>
        <w:t>Two of the changes below, counting loans instead of balance and averaging over all fifteen 12-month windows held (July 2025 to September 2026), applied to the same history:</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B2A41"/>
          </w:tcPr>
          <w:p>
            <w:r>
              <w:rPr>
                <w:b/>
                <w:color w:val="FFFFFF"/>
                <w:sz w:val="17"/>
              </w:rPr>
            </w:r>
            <w:r>
              <w:rPr>
                <w:b/>
                <w:i w:val="0"/>
                <w:color w:val="FFFFFF"/>
                <w:sz w:val="17"/>
              </w:rPr>
              <w:t>Group and stage</w:t>
            </w:r>
          </w:p>
        </w:tc>
        <w:tc>
          <w:tcPr>
            <w:tcW w:type="dxa" w:w="3324"/>
            <w:shd w:val="clear" w:color="auto" w:fill="1B2A41"/>
          </w:tcPr>
          <w:p>
            <w:r>
              <w:rPr>
                <w:b/>
                <w:color w:val="FFFFFF"/>
                <w:sz w:val="17"/>
              </w:rPr>
            </w:r>
            <w:r>
              <w:rPr>
                <w:b/>
                <w:i w:val="0"/>
                <w:color w:val="FFFFFF"/>
                <w:sz w:val="17"/>
              </w:rPr>
              <w:t>September 2026 as booked</w:t>
            </w:r>
          </w:p>
        </w:tc>
        <w:tc>
          <w:tcPr>
            <w:tcW w:type="dxa" w:w="3324"/>
            <w:shd w:val="clear" w:color="auto" w:fill="1B2A41"/>
          </w:tcPr>
          <w:p>
            <w:r>
              <w:rPr>
                <w:b/>
                <w:color w:val="FFFFFF"/>
                <w:sz w:val="17"/>
              </w:rPr>
            </w:r>
            <w:r>
              <w:rPr>
                <w:b/>
                <w:i w:val="0"/>
                <w:color w:val="FFFFFF"/>
                <w:sz w:val="17"/>
              </w:rPr>
              <w:t>Counted, all windows</w:t>
            </w:r>
          </w:p>
        </w:tc>
      </w:tr>
      <w:tr>
        <w:tc>
          <w:tcPr>
            <w:tcW w:type="dxa" w:w="3324"/>
          </w:tcPr>
          <w:p>
            <w:r>
              <w:rPr>
                <w:b w:val="0"/>
                <w:sz w:val="17"/>
              </w:rPr>
            </w:r>
            <w:r>
              <w:rPr>
                <w:b w:val="0"/>
                <w:i w:val="0"/>
                <w:sz w:val="17"/>
              </w:rPr>
              <w:t>Whole book, Stage 1</w:t>
            </w:r>
          </w:p>
        </w:tc>
        <w:tc>
          <w:tcPr>
            <w:tcW w:type="dxa" w:w="3324"/>
          </w:tcPr>
          <w:p>
            <w:r>
              <w:rPr>
                <w:b w:val="0"/>
                <w:sz w:val="17"/>
              </w:rPr>
            </w:r>
            <w:r>
              <w:rPr>
                <w:b w:val="0"/>
                <w:i w:val="0"/>
                <w:sz w:val="17"/>
              </w:rPr>
              <w:t>33.7%</w:t>
            </w:r>
          </w:p>
        </w:tc>
        <w:tc>
          <w:tcPr>
            <w:tcW w:type="dxa" w:w="3324"/>
          </w:tcPr>
          <w:p>
            <w:r>
              <w:rPr>
                <w:b w:val="0"/>
                <w:sz w:val="17"/>
              </w:rPr>
            </w:r>
            <w:r>
              <w:rPr>
                <w:b w:val="0"/>
                <w:i w:val="0"/>
                <w:sz w:val="17"/>
              </w:rPr>
              <w:t>29.6%</w:t>
            </w:r>
          </w:p>
        </w:tc>
      </w:tr>
      <w:tr>
        <w:tc>
          <w:tcPr>
            <w:tcW w:type="dxa" w:w="3324"/>
          </w:tcPr>
          <w:p>
            <w:r>
              <w:rPr>
                <w:b w:val="0"/>
                <w:sz w:val="17"/>
              </w:rPr>
            </w:r>
            <w:r>
              <w:rPr>
                <w:b w:val="0"/>
                <w:i w:val="0"/>
                <w:sz w:val="17"/>
              </w:rPr>
              <w:t>Whole book, Stage 2</w:t>
            </w:r>
          </w:p>
        </w:tc>
        <w:tc>
          <w:tcPr>
            <w:tcW w:type="dxa" w:w="3324"/>
          </w:tcPr>
          <w:p>
            <w:r>
              <w:rPr>
                <w:b w:val="0"/>
                <w:sz w:val="17"/>
              </w:rPr>
            </w:r>
            <w:r>
              <w:rPr>
                <w:b w:val="0"/>
                <w:i w:val="0"/>
                <w:sz w:val="17"/>
              </w:rPr>
              <w:t>26.3%</w:t>
            </w:r>
          </w:p>
        </w:tc>
        <w:tc>
          <w:tcPr>
            <w:tcW w:type="dxa" w:w="3324"/>
          </w:tcPr>
          <w:p>
            <w:r>
              <w:rPr>
                <w:b w:val="0"/>
                <w:sz w:val="17"/>
              </w:rPr>
            </w:r>
            <w:r>
              <w:rPr>
                <w:b w:val="0"/>
                <w:i w:val="0"/>
                <w:sz w:val="17"/>
              </w:rPr>
              <w:t>56.4%</w:t>
            </w:r>
          </w:p>
        </w:tc>
      </w:tr>
      <w:tr>
        <w:tc>
          <w:tcPr>
            <w:tcW w:type="dxa" w:w="3324"/>
          </w:tcPr>
          <w:p>
            <w:r>
              <w:rPr>
                <w:b w:val="0"/>
                <w:sz w:val="17"/>
              </w:rPr>
            </w:r>
            <w:r>
              <w:rPr>
                <w:b w:val="0"/>
                <w:i w:val="0"/>
                <w:sz w:val="17"/>
              </w:rPr>
              <w:t>FInES Industrial, Stage 1</w:t>
            </w:r>
          </w:p>
        </w:tc>
        <w:tc>
          <w:tcPr>
            <w:tcW w:type="dxa" w:w="3324"/>
          </w:tcPr>
          <w:p>
            <w:r>
              <w:rPr>
                <w:b w:val="0"/>
                <w:sz w:val="17"/>
              </w:rPr>
            </w:r>
            <w:r>
              <w:rPr>
                <w:b w:val="0"/>
                <w:i w:val="0"/>
                <w:sz w:val="17"/>
              </w:rPr>
              <w:t>44.3%</w:t>
            </w:r>
          </w:p>
        </w:tc>
        <w:tc>
          <w:tcPr>
            <w:tcW w:type="dxa" w:w="3324"/>
          </w:tcPr>
          <w:p>
            <w:r>
              <w:rPr>
                <w:b w:val="0"/>
                <w:sz w:val="17"/>
              </w:rPr>
            </w:r>
            <w:r>
              <w:rPr>
                <w:b w:val="0"/>
                <w:i w:val="0"/>
                <w:sz w:val="17"/>
              </w:rPr>
              <w:t>21.2%</w:t>
            </w:r>
          </w:p>
        </w:tc>
      </w:tr>
      <w:tr>
        <w:tc>
          <w:tcPr>
            <w:tcW w:type="dxa" w:w="3324"/>
          </w:tcPr>
          <w:p>
            <w:r>
              <w:rPr>
                <w:b w:val="0"/>
                <w:sz w:val="17"/>
              </w:rPr>
            </w:r>
            <w:r>
              <w:rPr>
                <w:b w:val="0"/>
                <w:i w:val="0"/>
                <w:sz w:val="17"/>
              </w:rPr>
              <w:t>FInES Industrial, Stage 2</w:t>
            </w:r>
          </w:p>
        </w:tc>
        <w:tc>
          <w:tcPr>
            <w:tcW w:type="dxa" w:w="3324"/>
          </w:tcPr>
          <w:p>
            <w:r>
              <w:rPr>
                <w:b w:val="0"/>
                <w:sz w:val="17"/>
              </w:rPr>
            </w:r>
            <w:r>
              <w:rPr>
                <w:b w:val="0"/>
                <w:i w:val="0"/>
                <w:sz w:val="17"/>
              </w:rPr>
              <w:t>35.3%</w:t>
            </w:r>
          </w:p>
        </w:tc>
        <w:tc>
          <w:tcPr>
            <w:tcW w:type="dxa" w:w="3324"/>
          </w:tcPr>
          <w:p>
            <w:r>
              <w:rPr>
                <w:b w:val="0"/>
                <w:sz w:val="17"/>
              </w:rPr>
            </w:r>
            <w:r>
              <w:rPr>
                <w:b w:val="0"/>
                <w:i w:val="0"/>
                <w:sz w:val="17"/>
              </w:rPr>
              <w:t>52.1%</w:t>
            </w:r>
          </w:p>
        </w:tc>
      </w:tr>
      <w:tr>
        <w:tc>
          <w:tcPr>
            <w:tcW w:type="dxa" w:w="3324"/>
          </w:tcPr>
          <w:p>
            <w:r>
              <w:rPr>
                <w:b w:val="0"/>
                <w:sz w:val="17"/>
              </w:rPr>
            </w:r>
            <w:r>
              <w:rPr>
                <w:b w:val="0"/>
                <w:i w:val="0"/>
                <w:sz w:val="17"/>
              </w:rPr>
              <w:t>MAIIC Industrial, Stage 1</w:t>
            </w:r>
          </w:p>
        </w:tc>
        <w:tc>
          <w:tcPr>
            <w:tcW w:type="dxa" w:w="3324"/>
          </w:tcPr>
          <w:p>
            <w:r>
              <w:rPr>
                <w:b w:val="0"/>
                <w:sz w:val="17"/>
              </w:rPr>
            </w:r>
            <w:r>
              <w:rPr>
                <w:b w:val="0"/>
                <w:i w:val="0"/>
                <w:sz w:val="17"/>
              </w:rPr>
              <w:t>25.9%</w:t>
            </w:r>
          </w:p>
        </w:tc>
        <w:tc>
          <w:tcPr>
            <w:tcW w:type="dxa" w:w="3324"/>
          </w:tcPr>
          <w:p>
            <w:r>
              <w:rPr>
                <w:b w:val="0"/>
                <w:sz w:val="17"/>
              </w:rPr>
            </w:r>
            <w:r>
              <w:rPr>
                <w:b w:val="0"/>
                <w:i w:val="0"/>
                <w:sz w:val="17"/>
              </w:rPr>
              <w:t>10.9%</w:t>
            </w:r>
          </w:p>
        </w:tc>
      </w:tr>
      <w:tr>
        <w:tc>
          <w:tcPr>
            <w:tcW w:type="dxa" w:w="3324"/>
          </w:tcPr>
          <w:p>
            <w:r>
              <w:rPr>
                <w:b w:val="0"/>
                <w:sz w:val="17"/>
              </w:rPr>
            </w:r>
            <w:r>
              <w:rPr>
                <w:b w:val="0"/>
                <w:i w:val="0"/>
                <w:sz w:val="17"/>
              </w:rPr>
              <w:t>MAIIC Industrial, Stage 2</w:t>
            </w:r>
          </w:p>
        </w:tc>
        <w:tc>
          <w:tcPr>
            <w:tcW w:type="dxa" w:w="3324"/>
          </w:tcPr>
          <w:p>
            <w:r>
              <w:rPr>
                <w:b w:val="0"/>
                <w:sz w:val="17"/>
              </w:rPr>
            </w:r>
            <w:r>
              <w:rPr>
                <w:b w:val="0"/>
                <w:i w:val="0"/>
                <w:sz w:val="17"/>
              </w:rPr>
              <w:t>21.2%</w:t>
            </w:r>
          </w:p>
        </w:tc>
        <w:tc>
          <w:tcPr>
            <w:tcW w:type="dxa" w:w="3324"/>
          </w:tcPr>
          <w:p>
            <w:r>
              <w:rPr>
                <w:b w:val="0"/>
                <w:sz w:val="17"/>
              </w:rPr>
            </w:r>
            <w:r>
              <w:rPr>
                <w:b w:val="0"/>
                <w:i w:val="0"/>
                <w:sz w:val="17"/>
              </w:rPr>
              <w:t>37.7%</w:t>
            </w:r>
          </w:p>
        </w:tc>
      </w:tr>
    </w:tbl>
    <w:p/>
    <w:p>
      <w:pPr>
        <w:spacing w:after="120"/>
      </w:pPr>
      <w:r>
        <w:rPr>
          <w:b w:val="0"/>
          <w:i w:val="0"/>
        </w:rPr>
        <w:t>Stage 2 is back above Stage 1 in every group, and Stage 1 is steadier and, for most groups, lower. These are indications only; section 7 says how the full effect on the allowance is measured before anything is decided.</w:t>
      </w:r>
    </w:p>
    <w:p>
      <w:pPr>
        <w:pStyle w:val="Heading2"/>
      </w:pPr>
      <w:r>
        <w:t>6. The six proposed changes</w:t>
      </w:r>
    </w:p>
    <w:p>
      <w:pPr>
        <w:spacing w:after="120"/>
      </w:pPr>
      <w:r>
        <w:rPr>
          <w:b w:val="0"/>
          <w:i w:val="0"/>
        </w:rPr>
        <w:t>Each change becomes a governed setting in the Governance Centre, so that it takes effect only when proposed by one person and approved by another, from a month MAIIC chooses.</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1B2A41"/>
          </w:tcPr>
          <w:p>
            <w:r>
              <w:rPr>
                <w:b/>
                <w:color w:val="FFFFFF"/>
                <w:sz w:val="17"/>
              </w:rPr>
            </w:r>
            <w:r>
              <w:rPr>
                <w:b/>
                <w:i w:val="0"/>
                <w:color w:val="FFFFFF"/>
                <w:sz w:val="17"/>
              </w:rPr>
              <w:t>#</w:t>
            </w:r>
          </w:p>
        </w:tc>
        <w:tc>
          <w:tcPr>
            <w:tcW w:type="dxa" w:w="1994"/>
            <w:shd w:val="clear" w:color="auto" w:fill="1B2A41"/>
          </w:tcPr>
          <w:p>
            <w:r>
              <w:rPr>
                <w:b/>
                <w:color w:val="FFFFFF"/>
                <w:sz w:val="17"/>
              </w:rPr>
            </w:r>
            <w:r>
              <w:rPr>
                <w:b/>
                <w:i w:val="0"/>
                <w:color w:val="FFFFFF"/>
                <w:sz w:val="17"/>
              </w:rPr>
              <w:t>Change</w:t>
            </w:r>
          </w:p>
        </w:tc>
        <w:tc>
          <w:tcPr>
            <w:tcW w:type="dxa" w:w="1994"/>
            <w:shd w:val="clear" w:color="auto" w:fill="1B2A41"/>
          </w:tcPr>
          <w:p>
            <w:r>
              <w:rPr>
                <w:b/>
                <w:color w:val="FFFFFF"/>
                <w:sz w:val="17"/>
              </w:rPr>
            </w:r>
            <w:r>
              <w:rPr>
                <w:b/>
                <w:i w:val="0"/>
                <w:color w:val="FFFFFF"/>
                <w:sz w:val="17"/>
              </w:rPr>
              <w:t>In plain words</w:t>
            </w:r>
          </w:p>
        </w:tc>
        <w:tc>
          <w:tcPr>
            <w:tcW w:type="dxa" w:w="1994"/>
            <w:shd w:val="clear" w:color="auto" w:fill="1B2A41"/>
          </w:tcPr>
          <w:p>
            <w:r>
              <w:rPr>
                <w:b/>
                <w:color w:val="FFFFFF"/>
                <w:sz w:val="17"/>
              </w:rPr>
            </w:r>
            <w:r>
              <w:rPr>
                <w:b/>
                <w:i w:val="0"/>
                <w:color w:val="FFFFFF"/>
                <w:sz w:val="17"/>
              </w:rPr>
              <w:t>Recommended</w:t>
            </w:r>
          </w:p>
        </w:tc>
        <w:tc>
          <w:tcPr>
            <w:tcW w:type="dxa" w:w="1994"/>
            <w:shd w:val="clear" w:color="auto" w:fill="1B2A41"/>
          </w:tcPr>
          <w:p>
            <w:r>
              <w:rPr>
                <w:b/>
                <w:color w:val="FFFFFF"/>
                <w:sz w:val="17"/>
              </w:rPr>
            </w:r>
            <w:r>
              <w:rPr>
                <w:b/>
                <w:i w:val="0"/>
                <w:color w:val="FFFFFF"/>
                <w:sz w:val="17"/>
              </w:rPr>
              <w:t>Why</w:t>
            </w:r>
          </w:p>
        </w:tc>
      </w:tr>
      <w:tr>
        <w:tc>
          <w:tcPr>
            <w:tcW w:type="dxa" w:w="1994"/>
          </w:tcPr>
          <w:p>
            <w:r>
              <w:rPr>
                <w:b w:val="0"/>
                <w:sz w:val="17"/>
              </w:rPr>
            </w:r>
            <w:r>
              <w:rPr>
                <w:b w:val="0"/>
                <w:i w:val="0"/>
                <w:sz w:val="17"/>
              </w:rPr>
              <w:t>1</w:t>
            </w:r>
          </w:p>
        </w:tc>
        <w:tc>
          <w:tcPr>
            <w:tcW w:type="dxa" w:w="1994"/>
          </w:tcPr>
          <w:p>
            <w:r>
              <w:rPr>
                <w:b w:val="0"/>
                <w:sz w:val="17"/>
              </w:rPr>
            </w:r>
            <w:r>
              <w:rPr>
                <w:b/>
                <w:i w:val="0"/>
                <w:sz w:val="17"/>
              </w:rPr>
              <w:t>Count loans, not balance</w:t>
            </w:r>
          </w:p>
        </w:tc>
        <w:tc>
          <w:tcPr>
            <w:tcW w:type="dxa" w:w="1994"/>
          </w:tcPr>
          <w:p>
            <w:r>
              <w:rPr>
                <w:b w:val="0"/>
                <w:sz w:val="17"/>
              </w:rPr>
            </w:r>
            <w:r>
              <w:rPr>
                <w:b w:val="0"/>
                <w:i w:val="0"/>
                <w:sz w:val="17"/>
              </w:rPr>
              <w:t>The PD is the share of borrowers who defaulted, not the share of money</w:t>
            </w:r>
          </w:p>
        </w:tc>
        <w:tc>
          <w:tcPr>
            <w:tcW w:type="dxa" w:w="1994"/>
          </w:tcPr>
          <w:p>
            <w:r>
              <w:rPr>
                <w:b w:val="0"/>
                <w:sz w:val="17"/>
              </w:rPr>
            </w:r>
            <w:r>
              <w:rPr>
                <w:b w:val="0"/>
                <w:i w:val="0"/>
                <w:sz w:val="17"/>
              </w:rPr>
              <w:t>Count loans</w:t>
            </w:r>
          </w:p>
        </w:tc>
        <w:tc>
          <w:tcPr>
            <w:tcW w:type="dxa" w:w="1994"/>
          </w:tcPr>
          <w:p>
            <w:r>
              <w:rPr>
                <w:b w:val="0"/>
                <w:sz w:val="17"/>
              </w:rPr>
            </w:r>
            <w:r>
              <w:rPr>
                <w:b w:val="0"/>
                <w:i w:val="0"/>
                <w:sz w:val="17"/>
              </w:rPr>
              <w:t>A PD is about how likely a borrower is to default. The size of the loan belongs in the exposure and the loss given default, where it already is</w:t>
            </w:r>
          </w:p>
        </w:tc>
      </w:tr>
      <w:tr>
        <w:tc>
          <w:tcPr>
            <w:tcW w:type="dxa" w:w="1994"/>
          </w:tcPr>
          <w:p>
            <w:r>
              <w:rPr>
                <w:b w:val="0"/>
                <w:sz w:val="17"/>
              </w:rPr>
            </w:r>
            <w:r>
              <w:rPr>
                <w:b w:val="0"/>
                <w:i w:val="0"/>
                <w:sz w:val="17"/>
              </w:rPr>
              <w:t>2</w:t>
            </w:r>
          </w:p>
        </w:tc>
        <w:tc>
          <w:tcPr>
            <w:tcW w:type="dxa" w:w="1994"/>
          </w:tcPr>
          <w:p>
            <w:r>
              <w:rPr>
                <w:b w:val="0"/>
                <w:sz w:val="17"/>
              </w:rPr>
            </w:r>
            <w:r>
              <w:rPr>
                <w:b/>
                <w:i w:val="0"/>
                <w:sz w:val="17"/>
              </w:rPr>
              <w:t>Look back over every window held</w:t>
            </w:r>
          </w:p>
        </w:tc>
        <w:tc>
          <w:tcPr>
            <w:tcW w:type="dxa" w:w="1994"/>
          </w:tcPr>
          <w:p>
            <w:r>
              <w:rPr>
                <w:b w:val="0"/>
                <w:sz w:val="17"/>
              </w:rPr>
            </w:r>
            <w:r>
              <w:rPr>
                <w:b w:val="0"/>
                <w:i w:val="0"/>
                <w:sz w:val="17"/>
              </w:rPr>
              <w:t>Average all the 12-month windows since the history began, not just the latest</w:t>
            </w:r>
          </w:p>
        </w:tc>
        <w:tc>
          <w:tcPr>
            <w:tcW w:type="dxa" w:w="1994"/>
          </w:tcPr>
          <w:p>
            <w:r>
              <w:rPr>
                <w:b w:val="0"/>
                <w:sz w:val="17"/>
              </w:rPr>
            </w:r>
            <w:r>
              <w:rPr>
                <w:b w:val="0"/>
                <w:i w:val="0"/>
                <w:sz w:val="17"/>
              </w:rPr>
              <w:t>All windows held, growing as history grows (today 15)</w:t>
            </w:r>
          </w:p>
        </w:tc>
        <w:tc>
          <w:tcPr>
            <w:tcW w:type="dxa" w:w="1994"/>
          </w:tcPr>
          <w:p>
            <w:r>
              <w:rPr>
                <w:b w:val="0"/>
                <w:sz w:val="17"/>
              </w:rPr>
            </w:r>
            <w:r>
              <w:rPr>
                <w:b w:val="0"/>
                <w:i w:val="0"/>
                <w:sz w:val="17"/>
              </w:rPr>
              <w:t>Steadier PDs; one bad or good year no longer swings the allowance</w:t>
            </w:r>
          </w:p>
        </w:tc>
      </w:tr>
      <w:tr>
        <w:tc>
          <w:tcPr>
            <w:tcW w:type="dxa" w:w="1994"/>
          </w:tcPr>
          <w:p>
            <w:r>
              <w:rPr>
                <w:b w:val="0"/>
                <w:sz w:val="17"/>
              </w:rPr>
            </w:r>
            <w:r>
              <w:rPr>
                <w:b w:val="0"/>
                <w:i w:val="0"/>
                <w:sz w:val="17"/>
              </w:rPr>
              <w:t>3</w:t>
            </w:r>
          </w:p>
        </w:tc>
        <w:tc>
          <w:tcPr>
            <w:tcW w:type="dxa" w:w="1994"/>
          </w:tcPr>
          <w:p>
            <w:r>
              <w:rPr>
                <w:b w:val="0"/>
                <w:sz w:val="17"/>
              </w:rPr>
            </w:r>
            <w:r>
              <w:rPr>
                <w:b/>
                <w:i w:val="0"/>
                <w:sz w:val="17"/>
              </w:rPr>
              <w:t>Blend small groups with their parent</w:t>
            </w:r>
          </w:p>
        </w:tc>
        <w:tc>
          <w:tcPr>
            <w:tcW w:type="dxa" w:w="1994"/>
          </w:tcPr>
          <w:p>
            <w:r>
              <w:rPr>
                <w:b w:val="0"/>
                <w:sz w:val="17"/>
              </w:rPr>
            </w:r>
            <w:r>
              <w:rPr>
                <w:b w:val="0"/>
                <w:i w:val="0"/>
                <w:sz w:val="17"/>
              </w:rPr>
              <w:t>A small group's PD is part its own experience, part its portfolio's, in proportion to its size</w:t>
            </w:r>
          </w:p>
        </w:tc>
        <w:tc>
          <w:tcPr>
            <w:tcW w:type="dxa" w:w="1994"/>
          </w:tcPr>
          <w:p>
            <w:r>
              <w:rPr>
                <w:b w:val="0"/>
                <w:sz w:val="17"/>
              </w:rPr>
            </w:r>
            <w:r>
              <w:rPr>
                <w:b w:val="0"/>
                <w:i w:val="0"/>
                <w:sz w:val="17"/>
              </w:rPr>
              <w:t>Blend by the number of loans, full weight on the group's own rate at 30 loans or more</w:t>
            </w:r>
          </w:p>
        </w:tc>
        <w:tc>
          <w:tcPr>
            <w:tcW w:type="dxa" w:w="1994"/>
          </w:tcPr>
          <w:p>
            <w:r>
              <w:rPr>
                <w:b w:val="0"/>
                <w:sz w:val="17"/>
              </w:rPr>
            </w:r>
            <w:r>
              <w:rPr>
                <w:b w:val="0"/>
                <w:i w:val="0"/>
                <w:sz w:val="17"/>
              </w:rPr>
              <w:t>Uses each group's own experience without trusting a tiny sample completely</w:t>
            </w:r>
          </w:p>
        </w:tc>
      </w:tr>
      <w:tr>
        <w:tc>
          <w:tcPr>
            <w:tcW w:type="dxa" w:w="1994"/>
          </w:tcPr>
          <w:p>
            <w:r>
              <w:rPr>
                <w:b w:val="0"/>
                <w:sz w:val="17"/>
              </w:rPr>
            </w:r>
            <w:r>
              <w:rPr>
                <w:b w:val="0"/>
                <w:i w:val="0"/>
                <w:sz w:val="17"/>
              </w:rPr>
              <w:t>4</w:t>
            </w:r>
          </w:p>
        </w:tc>
        <w:tc>
          <w:tcPr>
            <w:tcW w:type="dxa" w:w="1994"/>
          </w:tcPr>
          <w:p>
            <w:r>
              <w:rPr>
                <w:b w:val="0"/>
                <w:sz w:val="17"/>
              </w:rPr>
            </w:r>
            <w:r>
              <w:rPr>
                <w:b/>
                <w:i w:val="0"/>
                <w:sz w:val="17"/>
              </w:rPr>
              <w:t>Keep the stages in order</w:t>
            </w:r>
          </w:p>
        </w:tc>
        <w:tc>
          <w:tcPr>
            <w:tcW w:type="dxa" w:w="1994"/>
          </w:tcPr>
          <w:p>
            <w:r>
              <w:rPr>
                <w:b w:val="0"/>
                <w:sz w:val="17"/>
              </w:rPr>
            </w:r>
            <w:r>
              <w:rPr>
                <w:b w:val="0"/>
                <w:i w:val="0"/>
                <w:sz w:val="17"/>
              </w:rPr>
              <w:t>A Stage 2 PD is never below the Stage 1 PD of the same group</w:t>
            </w:r>
          </w:p>
        </w:tc>
        <w:tc>
          <w:tcPr>
            <w:tcW w:type="dxa" w:w="1994"/>
          </w:tcPr>
          <w:p>
            <w:r>
              <w:rPr>
                <w:b w:val="0"/>
                <w:sz w:val="17"/>
              </w:rPr>
            </w:r>
            <w:r>
              <w:rPr>
                <w:b w:val="0"/>
                <w:i w:val="0"/>
                <w:sz w:val="17"/>
              </w:rPr>
              <w:t>Stage 2 at least Stage 1; Stage 3 is 100% as now</w:t>
            </w:r>
          </w:p>
        </w:tc>
        <w:tc>
          <w:tcPr>
            <w:tcW w:type="dxa" w:w="1994"/>
          </w:tcPr>
          <w:p>
            <w:r>
              <w:rPr>
                <w:b w:val="0"/>
                <w:sz w:val="17"/>
              </w:rPr>
            </w:r>
            <w:r>
              <w:rPr>
                <w:b w:val="0"/>
                <w:i w:val="0"/>
                <w:sz w:val="17"/>
              </w:rPr>
              <w:t>A basic property any IFRS 9 PD must have</w:t>
            </w:r>
          </w:p>
        </w:tc>
      </w:tr>
      <w:tr>
        <w:tc>
          <w:tcPr>
            <w:tcW w:type="dxa" w:w="1994"/>
          </w:tcPr>
          <w:p>
            <w:r>
              <w:rPr>
                <w:b w:val="0"/>
                <w:sz w:val="17"/>
              </w:rPr>
            </w:r>
            <w:r>
              <w:rPr>
                <w:b w:val="0"/>
                <w:i w:val="0"/>
                <w:sz w:val="17"/>
              </w:rPr>
              <w:t>5</w:t>
            </w:r>
          </w:p>
        </w:tc>
        <w:tc>
          <w:tcPr>
            <w:tcW w:type="dxa" w:w="1994"/>
          </w:tcPr>
          <w:p>
            <w:r>
              <w:rPr>
                <w:b w:val="0"/>
                <w:sz w:val="17"/>
              </w:rPr>
            </w:r>
            <w:r>
              <w:rPr>
                <w:b/>
                <w:i w:val="0"/>
                <w:sz w:val="17"/>
              </w:rPr>
              <w:t>Fix what "default" means for the PD</w:t>
            </w:r>
          </w:p>
        </w:tc>
        <w:tc>
          <w:tcPr>
            <w:tcW w:type="dxa" w:w="1994"/>
          </w:tcPr>
          <w:p>
            <w:r>
              <w:rPr>
                <w:b w:val="0"/>
                <w:sz w:val="17"/>
              </w:rPr>
            </w:r>
            <w:r>
              <w:rPr>
                <w:b w:val="0"/>
                <w:i w:val="0"/>
                <w:sz w:val="17"/>
              </w:rPr>
              <w:t>Default for the PD is defined on its own, not by whichever staging policy is in force</w:t>
            </w:r>
          </w:p>
        </w:tc>
        <w:tc>
          <w:tcPr>
            <w:tcW w:type="dxa" w:w="1994"/>
          </w:tcPr>
          <w:p>
            <w:r>
              <w:rPr>
                <w:b w:val="0"/>
                <w:sz w:val="17"/>
              </w:rPr>
            </w:r>
            <w:r>
              <w:rPr>
                <w:b w:val="0"/>
                <w:i w:val="0"/>
                <w:sz w:val="17"/>
              </w:rPr>
              <w:t>Over 90 days overdue, or written off, the usual IFRS 9 and Basel definition (IFRS 9 B5.5.37)</w:t>
            </w:r>
          </w:p>
        </w:tc>
        <w:tc>
          <w:tcPr>
            <w:tcW w:type="dxa" w:w="1994"/>
          </w:tcPr>
          <w:p>
            <w:r>
              <w:rPr>
                <w:b w:val="0"/>
                <w:sz w:val="17"/>
              </w:rPr>
            </w:r>
            <w:r>
              <w:rPr>
                <w:b w:val="0"/>
                <w:i w:val="0"/>
                <w:sz w:val="17"/>
              </w:rPr>
              <w:t>The PD history no longer changes when the staging policy changes</w:t>
            </w:r>
          </w:p>
        </w:tc>
      </w:tr>
      <w:tr>
        <w:tc>
          <w:tcPr>
            <w:tcW w:type="dxa" w:w="1994"/>
          </w:tcPr>
          <w:p>
            <w:r>
              <w:rPr>
                <w:b w:val="0"/>
                <w:sz w:val="17"/>
              </w:rPr>
            </w:r>
            <w:r>
              <w:rPr>
                <w:b w:val="0"/>
                <w:i w:val="0"/>
                <w:sz w:val="17"/>
              </w:rPr>
              <w:t>6</w:t>
            </w:r>
          </w:p>
        </w:tc>
        <w:tc>
          <w:tcPr>
            <w:tcW w:type="dxa" w:w="1994"/>
          </w:tcPr>
          <w:p>
            <w:r>
              <w:rPr>
                <w:b w:val="0"/>
                <w:sz w:val="17"/>
              </w:rPr>
            </w:r>
            <w:r>
              <w:rPr>
                <w:b/>
                <w:i w:val="0"/>
                <w:sz w:val="17"/>
              </w:rPr>
              <w:t>Check the PDs against the real world</w:t>
            </w:r>
          </w:p>
        </w:tc>
        <w:tc>
          <w:tcPr>
            <w:tcW w:type="dxa" w:w="1994"/>
          </w:tcPr>
          <w:p>
            <w:r>
              <w:rPr>
                <w:b w:val="0"/>
                <w:sz w:val="17"/>
              </w:rPr>
            </w:r>
            <w:r>
              <w:rPr>
                <w:b w:val="0"/>
                <w:i w:val="0"/>
                <w:sz w:val="17"/>
              </w:rPr>
              <w:t>Each quarter, compare the defaults the PDs predicted with those that happened, and compare the PDs with an outside benchmark</w:t>
            </w:r>
          </w:p>
        </w:tc>
        <w:tc>
          <w:tcPr>
            <w:tcW w:type="dxa" w:w="1994"/>
          </w:tcPr>
          <w:p>
            <w:r>
              <w:rPr>
                <w:b w:val="0"/>
                <w:sz w:val="17"/>
              </w:rPr>
            </w:r>
            <w:r>
              <w:rPr>
                <w:b w:val="0"/>
                <w:i w:val="0"/>
                <w:sz w:val="17"/>
              </w:rPr>
              <w:t>Quarterly backtest; benchmark against the S&amp;P external PDs being built in the system</w:t>
            </w:r>
          </w:p>
        </w:tc>
        <w:tc>
          <w:tcPr>
            <w:tcW w:type="dxa" w:w="1994"/>
          </w:tcPr>
          <w:p>
            <w:r>
              <w:rPr>
                <w:b w:val="0"/>
                <w:sz w:val="17"/>
              </w:rPr>
            </w:r>
            <w:r>
              <w:rPr>
                <w:b w:val="0"/>
                <w:i w:val="0"/>
                <w:sz w:val="17"/>
              </w:rPr>
              <w:t>Shows whether the PDs are believable, and gives the auditors evidence</w:t>
            </w:r>
          </w:p>
        </w:tc>
      </w:tr>
    </w:tbl>
    <w:p/>
    <w:p>
      <w:pPr>
        <w:spacing w:after="120"/>
      </w:pPr>
      <w:r>
        <w:rPr>
          <w:b w:val="0"/>
          <w:i w:val="0"/>
        </w:rPr>
        <w:t>Changes 1 to 5 change the PDs; change 6 is a check that runs beside them. Mega Farm stays measured by its own module and is not touched.</w:t>
      </w:r>
    </w:p>
    <w:p>
      <w:pPr>
        <w:pStyle w:val="Heading2"/>
      </w:pPr>
      <w:r>
        <w:t>7. How we test it before deciding</w:t>
      </w:r>
    </w:p>
    <w:p>
      <w:pPr>
        <w:spacing w:after="120"/>
      </w:pPr>
      <w:r>
        <w:rPr>
          <w:b w:val="0"/>
          <w:i w:val="0"/>
        </w:rPr>
        <w:t xml:space="preserve">Nothing is switched on by this specification. The proposal is first run as a </w:t>
      </w:r>
      <w:r>
        <w:rPr>
          <w:b/>
          <w:i w:val="0"/>
        </w:rPr>
        <w:t>PD calibration comparison</w:t>
      </w:r>
      <w:r>
        <w:rPr>
          <w:b w:val="0"/>
          <w:i w:val="0"/>
        </w:rPr>
        <w:t>, in the same way as the staging comparison and the re-performance workspace already in the system:</w:t>
      </w:r>
    </w:p>
    <w:p>
      <w:pPr>
        <w:pStyle w:val="ListNumber"/>
      </w:pPr>
      <w:r>
        <w:rPr>
          <w:b w:val="0"/>
          <w:i w:val="0"/>
        </w:rPr>
        <w:t>a copy of the database is made into a throwaway workspace;</w:t>
      </w:r>
    </w:p>
    <w:p>
      <w:pPr>
        <w:pStyle w:val="ListNumber"/>
      </w:pPr>
      <w:r>
        <w:rPr>
          <w:b w:val="0"/>
          <w:i w:val="0"/>
        </w:rPr>
        <w:t>the PDs are worked out again there with changes 1 to 5, and the month-end engines are run on them;</w:t>
      </w:r>
    </w:p>
    <w:p>
      <w:pPr>
        <w:pStyle w:val="ListNumber"/>
      </w:pPr>
      <w:r>
        <w:rPr>
          <w:b w:val="0"/>
          <w:i w:val="0"/>
        </w:rPr>
        <w:t>every loan's PD and ECL in the workspace is compared with the booked figures, loan by loan, and summed by portfolio and stage;</w:t>
      </w:r>
    </w:p>
    <w:p>
      <w:pPr>
        <w:pStyle w:val="ListNumber"/>
      </w:pPr>
      <w:r>
        <w:rPr>
          <w:b w:val="0"/>
          <w:i w:val="0"/>
        </w:rPr>
        <w:t>the result is a report: the new PD of each group, the effect on the allowance, which loans change stage under the shadow PD-change test, and the backtest of change 6.</w:t>
      </w:r>
    </w:p>
    <w:p>
      <w:pPr>
        <w:spacing w:after="120"/>
      </w:pPr>
      <w:r>
        <w:rPr>
          <w:b w:val="0"/>
          <w:i w:val="0"/>
        </w:rPr>
        <w:t>That report is what Dr Thom decides on. The booked figures do not move until a change is approved, and the bootstrap's golden values are set again only then.</w:t>
      </w:r>
    </w:p>
    <w:p>
      <w:pPr>
        <w:pStyle w:val="Heading2"/>
      </w:pPr>
      <w:r>
        <w:t>8. Decisions owed</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B2A41"/>
          </w:tcPr>
          <w:p>
            <w:r>
              <w:rPr>
                <w:b/>
                <w:color w:val="FFFFFF"/>
                <w:sz w:val="17"/>
              </w:rPr>
            </w:r>
            <w:r>
              <w:rPr>
                <w:b/>
                <w:i w:val="0"/>
                <w:color w:val="FFFFFF"/>
                <w:sz w:val="17"/>
              </w:rPr>
              <w:t>#</w:t>
            </w:r>
          </w:p>
        </w:tc>
        <w:tc>
          <w:tcPr>
            <w:tcW w:type="dxa" w:w="2493"/>
            <w:shd w:val="clear" w:color="auto" w:fill="1B2A41"/>
          </w:tcPr>
          <w:p>
            <w:r>
              <w:rPr>
                <w:b/>
                <w:color w:val="FFFFFF"/>
                <w:sz w:val="17"/>
              </w:rPr>
            </w:r>
            <w:r>
              <w:rPr>
                <w:b/>
                <w:i w:val="0"/>
                <w:color w:val="FFFFFF"/>
                <w:sz w:val="17"/>
              </w:rPr>
              <w:t>Decision</w:t>
            </w:r>
          </w:p>
        </w:tc>
        <w:tc>
          <w:tcPr>
            <w:tcW w:type="dxa" w:w="2493"/>
            <w:shd w:val="clear" w:color="auto" w:fill="1B2A41"/>
          </w:tcPr>
          <w:p>
            <w:r>
              <w:rPr>
                <w:b/>
                <w:color w:val="FFFFFF"/>
                <w:sz w:val="17"/>
              </w:rPr>
            </w:r>
            <w:r>
              <w:rPr>
                <w:b/>
                <w:i w:val="0"/>
                <w:color w:val="FFFFFF"/>
                <w:sz w:val="17"/>
              </w:rPr>
              <w:t>Owner</w:t>
            </w:r>
          </w:p>
        </w:tc>
        <w:tc>
          <w:tcPr>
            <w:tcW w:type="dxa" w:w="2493"/>
            <w:shd w:val="clear" w:color="auto" w:fill="1B2A41"/>
          </w:tcPr>
          <w:p>
            <w:r>
              <w:rPr>
                <w:b/>
                <w:color w:val="FFFFFF"/>
                <w:sz w:val="17"/>
              </w:rPr>
            </w:r>
            <w:r>
              <w:rPr>
                <w:b/>
                <w:i w:val="0"/>
                <w:color w:val="FFFFFF"/>
                <w:sz w:val="17"/>
              </w:rPr>
              <w:t>Recommendation</w:t>
            </w:r>
          </w:p>
        </w:tc>
      </w:tr>
      <w:tr>
        <w:tc>
          <w:tcPr>
            <w:tcW w:type="dxa" w:w="2493"/>
          </w:tcPr>
          <w:p>
            <w:r>
              <w:rPr>
                <w:b w:val="0"/>
                <w:sz w:val="17"/>
              </w:rPr>
            </w:r>
            <w:r>
              <w:rPr>
                <w:b w:val="0"/>
                <w:i w:val="0"/>
                <w:sz w:val="17"/>
              </w:rPr>
              <w:t>C1</w:t>
            </w:r>
          </w:p>
        </w:tc>
        <w:tc>
          <w:tcPr>
            <w:tcW w:type="dxa" w:w="2493"/>
          </w:tcPr>
          <w:p>
            <w:r>
              <w:rPr>
                <w:b w:val="0"/>
                <w:sz w:val="17"/>
              </w:rPr>
            </w:r>
            <w:r>
              <w:rPr>
                <w:b w:val="0"/>
                <w:i w:val="0"/>
                <w:sz w:val="17"/>
              </w:rPr>
              <w:t>Count loans or balance</w:t>
            </w:r>
          </w:p>
        </w:tc>
        <w:tc>
          <w:tcPr>
            <w:tcW w:type="dxa" w:w="2493"/>
          </w:tcPr>
          <w:p>
            <w:r>
              <w:rPr>
                <w:b w:val="0"/>
                <w:sz w:val="17"/>
              </w:rPr>
            </w:r>
            <w:r>
              <w:rPr>
                <w:b w:val="0"/>
                <w:i w:val="0"/>
                <w:sz w:val="17"/>
              </w:rPr>
              <w:t>Dr Thom, with Risk</w:t>
            </w:r>
          </w:p>
        </w:tc>
        <w:tc>
          <w:tcPr>
            <w:tcW w:type="dxa" w:w="2493"/>
          </w:tcPr>
          <w:p>
            <w:r>
              <w:rPr>
                <w:b w:val="0"/>
                <w:sz w:val="17"/>
              </w:rPr>
            </w:r>
            <w:r>
              <w:rPr>
                <w:b w:val="0"/>
                <w:i w:val="0"/>
                <w:sz w:val="17"/>
              </w:rPr>
              <w:t>Count loans</w:t>
            </w:r>
          </w:p>
        </w:tc>
      </w:tr>
      <w:tr>
        <w:tc>
          <w:tcPr>
            <w:tcW w:type="dxa" w:w="2493"/>
          </w:tcPr>
          <w:p>
            <w:r>
              <w:rPr>
                <w:b w:val="0"/>
                <w:sz w:val="17"/>
              </w:rPr>
            </w:r>
            <w:r>
              <w:rPr>
                <w:b w:val="0"/>
                <w:i w:val="0"/>
                <w:sz w:val="17"/>
              </w:rPr>
              <w:t>C2</w:t>
            </w:r>
          </w:p>
        </w:tc>
        <w:tc>
          <w:tcPr>
            <w:tcW w:type="dxa" w:w="2493"/>
          </w:tcPr>
          <w:p>
            <w:r>
              <w:rPr>
                <w:b w:val="0"/>
                <w:sz w:val="17"/>
              </w:rPr>
            </w:r>
            <w:r>
              <w:rPr>
                <w:b w:val="0"/>
                <w:i w:val="0"/>
                <w:sz w:val="17"/>
              </w:rPr>
              <w:t>The look-back</w:t>
            </w:r>
          </w:p>
        </w:tc>
        <w:tc>
          <w:tcPr>
            <w:tcW w:type="dxa" w:w="2493"/>
          </w:tcPr>
          <w:p>
            <w:r>
              <w:rPr>
                <w:b w:val="0"/>
                <w:sz w:val="17"/>
              </w:rPr>
            </w:r>
            <w:r>
              <w:rPr>
                <w:b w:val="0"/>
                <w:i w:val="0"/>
                <w:sz w:val="17"/>
              </w:rPr>
              <w:t>Dr Thom, with Risk</w:t>
            </w:r>
          </w:p>
        </w:tc>
        <w:tc>
          <w:tcPr>
            <w:tcW w:type="dxa" w:w="2493"/>
          </w:tcPr>
          <w:p>
            <w:r>
              <w:rPr>
                <w:b w:val="0"/>
                <w:sz w:val="17"/>
              </w:rPr>
            </w:r>
            <w:r>
              <w:rPr>
                <w:b w:val="0"/>
                <w:i w:val="0"/>
                <w:sz w:val="17"/>
              </w:rPr>
              <w:t>Every window held</w:t>
            </w:r>
          </w:p>
        </w:tc>
      </w:tr>
      <w:tr>
        <w:tc>
          <w:tcPr>
            <w:tcW w:type="dxa" w:w="2493"/>
          </w:tcPr>
          <w:p>
            <w:r>
              <w:rPr>
                <w:b w:val="0"/>
                <w:sz w:val="17"/>
              </w:rPr>
            </w:r>
            <w:r>
              <w:rPr>
                <w:b w:val="0"/>
                <w:i w:val="0"/>
                <w:sz w:val="17"/>
              </w:rPr>
              <w:t>C3</w:t>
            </w:r>
          </w:p>
        </w:tc>
        <w:tc>
          <w:tcPr>
            <w:tcW w:type="dxa" w:w="2493"/>
          </w:tcPr>
          <w:p>
            <w:r>
              <w:rPr>
                <w:b w:val="0"/>
                <w:sz w:val="17"/>
              </w:rPr>
            </w:r>
            <w:r>
              <w:rPr>
                <w:b w:val="0"/>
                <w:i w:val="0"/>
                <w:sz w:val="17"/>
              </w:rPr>
              <w:t>Small groups</w:t>
            </w:r>
          </w:p>
        </w:tc>
        <w:tc>
          <w:tcPr>
            <w:tcW w:type="dxa" w:w="2493"/>
          </w:tcPr>
          <w:p>
            <w:r>
              <w:rPr>
                <w:b w:val="0"/>
                <w:sz w:val="17"/>
              </w:rPr>
            </w:r>
            <w:r>
              <w:rPr>
                <w:b w:val="0"/>
                <w:i w:val="0"/>
                <w:sz w:val="17"/>
              </w:rPr>
              <w:t>Dr Thom, with Risk</w:t>
            </w:r>
          </w:p>
        </w:tc>
        <w:tc>
          <w:tcPr>
            <w:tcW w:type="dxa" w:w="2493"/>
          </w:tcPr>
          <w:p>
            <w:r>
              <w:rPr>
                <w:b w:val="0"/>
                <w:sz w:val="17"/>
              </w:rPr>
            </w:r>
            <w:r>
              <w:rPr>
                <w:b w:val="0"/>
                <w:i w:val="0"/>
                <w:sz w:val="17"/>
              </w:rPr>
              <w:t>Blend with the parent, full own weight at 30 loans</w:t>
            </w:r>
          </w:p>
        </w:tc>
      </w:tr>
      <w:tr>
        <w:tc>
          <w:tcPr>
            <w:tcW w:type="dxa" w:w="2493"/>
          </w:tcPr>
          <w:p>
            <w:r>
              <w:rPr>
                <w:b w:val="0"/>
                <w:sz w:val="17"/>
              </w:rPr>
            </w:r>
            <w:r>
              <w:rPr>
                <w:b w:val="0"/>
                <w:i w:val="0"/>
                <w:sz w:val="17"/>
              </w:rPr>
              <w:t>C4</w:t>
            </w:r>
          </w:p>
        </w:tc>
        <w:tc>
          <w:tcPr>
            <w:tcW w:type="dxa" w:w="2493"/>
          </w:tcPr>
          <w:p>
            <w:r>
              <w:rPr>
                <w:b w:val="0"/>
                <w:sz w:val="17"/>
              </w:rPr>
            </w:r>
            <w:r>
              <w:rPr>
                <w:b w:val="0"/>
                <w:i w:val="0"/>
                <w:sz w:val="17"/>
              </w:rPr>
              <w:t>Stage ordering</w:t>
            </w:r>
          </w:p>
        </w:tc>
        <w:tc>
          <w:tcPr>
            <w:tcW w:type="dxa" w:w="2493"/>
          </w:tcPr>
          <w:p>
            <w:r>
              <w:rPr>
                <w:b w:val="0"/>
                <w:sz w:val="17"/>
              </w:rPr>
            </w:r>
            <w:r>
              <w:rPr>
                <w:b w:val="0"/>
                <w:i w:val="0"/>
                <w:sz w:val="17"/>
              </w:rPr>
              <w:t>Dr Thom</w:t>
            </w:r>
          </w:p>
        </w:tc>
        <w:tc>
          <w:tcPr>
            <w:tcW w:type="dxa" w:w="2493"/>
          </w:tcPr>
          <w:p>
            <w:r>
              <w:rPr>
                <w:b w:val="0"/>
                <w:sz w:val="17"/>
              </w:rPr>
            </w:r>
            <w:r>
              <w:rPr>
                <w:b w:val="0"/>
                <w:i w:val="0"/>
                <w:sz w:val="17"/>
              </w:rPr>
              <w:t>Stage 2 at least Stage 1</w:t>
            </w:r>
          </w:p>
        </w:tc>
      </w:tr>
      <w:tr>
        <w:tc>
          <w:tcPr>
            <w:tcW w:type="dxa" w:w="2493"/>
          </w:tcPr>
          <w:p>
            <w:r>
              <w:rPr>
                <w:b w:val="0"/>
                <w:sz w:val="17"/>
              </w:rPr>
            </w:r>
            <w:r>
              <w:rPr>
                <w:b w:val="0"/>
                <w:i w:val="0"/>
                <w:sz w:val="17"/>
              </w:rPr>
              <w:t>C5</w:t>
            </w:r>
          </w:p>
        </w:tc>
        <w:tc>
          <w:tcPr>
            <w:tcW w:type="dxa" w:w="2493"/>
          </w:tcPr>
          <w:p>
            <w:r>
              <w:rPr>
                <w:b w:val="0"/>
                <w:sz w:val="17"/>
              </w:rPr>
            </w:r>
            <w:r>
              <w:rPr>
                <w:b w:val="0"/>
                <w:i w:val="0"/>
                <w:sz w:val="17"/>
              </w:rPr>
              <w:t>The definition of default for the PD</w:t>
            </w:r>
          </w:p>
        </w:tc>
        <w:tc>
          <w:tcPr>
            <w:tcW w:type="dxa" w:w="2493"/>
          </w:tcPr>
          <w:p>
            <w:r>
              <w:rPr>
                <w:b w:val="0"/>
                <w:sz w:val="17"/>
              </w:rPr>
            </w:r>
            <w:r>
              <w:rPr>
                <w:b w:val="0"/>
                <w:i w:val="0"/>
                <w:sz w:val="17"/>
              </w:rPr>
              <w:t>Dr Thom, with Credit</w:t>
            </w:r>
          </w:p>
        </w:tc>
        <w:tc>
          <w:tcPr>
            <w:tcW w:type="dxa" w:w="2493"/>
          </w:tcPr>
          <w:p>
            <w:r>
              <w:rPr>
                <w:b w:val="0"/>
                <w:sz w:val="17"/>
              </w:rPr>
            </w:r>
            <w:r>
              <w:rPr>
                <w:b w:val="0"/>
                <w:i w:val="0"/>
                <w:sz w:val="17"/>
              </w:rPr>
              <w:t>Over 90 days, or written off</w:t>
            </w:r>
          </w:p>
        </w:tc>
      </w:tr>
      <w:tr>
        <w:tc>
          <w:tcPr>
            <w:tcW w:type="dxa" w:w="2493"/>
          </w:tcPr>
          <w:p>
            <w:r>
              <w:rPr>
                <w:b w:val="0"/>
                <w:sz w:val="17"/>
              </w:rPr>
            </w:r>
            <w:r>
              <w:rPr>
                <w:b w:val="0"/>
                <w:i w:val="0"/>
                <w:sz w:val="17"/>
              </w:rPr>
              <w:t>C6</w:t>
            </w:r>
          </w:p>
        </w:tc>
        <w:tc>
          <w:tcPr>
            <w:tcW w:type="dxa" w:w="2493"/>
          </w:tcPr>
          <w:p>
            <w:r>
              <w:rPr>
                <w:b w:val="0"/>
                <w:sz w:val="17"/>
              </w:rPr>
            </w:r>
            <w:r>
              <w:rPr>
                <w:b w:val="0"/>
                <w:i w:val="0"/>
                <w:sz w:val="17"/>
              </w:rPr>
              <w:t>The backtest and benchmark</w:t>
            </w:r>
          </w:p>
        </w:tc>
        <w:tc>
          <w:tcPr>
            <w:tcW w:type="dxa" w:w="2493"/>
          </w:tcPr>
          <w:p>
            <w:r>
              <w:rPr>
                <w:b w:val="0"/>
                <w:sz w:val="17"/>
              </w:rPr>
            </w:r>
            <w:r>
              <w:rPr>
                <w:b w:val="0"/>
                <w:i w:val="0"/>
                <w:sz w:val="17"/>
              </w:rPr>
              <w:t>Risk</w:t>
            </w:r>
          </w:p>
        </w:tc>
        <w:tc>
          <w:tcPr>
            <w:tcW w:type="dxa" w:w="2493"/>
          </w:tcPr>
          <w:p>
            <w:r>
              <w:rPr>
                <w:b w:val="0"/>
                <w:sz w:val="17"/>
              </w:rPr>
            </w:r>
            <w:r>
              <w:rPr>
                <w:b w:val="0"/>
                <w:i w:val="0"/>
                <w:sz w:val="17"/>
              </w:rPr>
              <w:t>Quarterly, against the S&amp;P external PDs</w:t>
            </w:r>
          </w:p>
        </w:tc>
      </w:tr>
      <w:tr>
        <w:tc>
          <w:tcPr>
            <w:tcW w:type="dxa" w:w="2493"/>
          </w:tcPr>
          <w:p>
            <w:r>
              <w:rPr>
                <w:b w:val="0"/>
                <w:sz w:val="17"/>
              </w:rPr>
            </w:r>
            <w:r>
              <w:rPr>
                <w:b w:val="0"/>
                <w:i w:val="0"/>
                <w:sz w:val="17"/>
              </w:rPr>
              <w:t>C7</w:t>
            </w:r>
          </w:p>
        </w:tc>
        <w:tc>
          <w:tcPr>
            <w:tcW w:type="dxa" w:w="2493"/>
          </w:tcPr>
          <w:p>
            <w:r>
              <w:rPr>
                <w:b w:val="0"/>
                <w:sz w:val="17"/>
              </w:rPr>
            </w:r>
            <w:r>
              <w:rPr>
                <w:b w:val="0"/>
                <w:i w:val="0"/>
                <w:sz w:val="17"/>
              </w:rPr>
              <w:t>From which month to apply the approved changes</w:t>
            </w:r>
          </w:p>
        </w:tc>
        <w:tc>
          <w:tcPr>
            <w:tcW w:type="dxa" w:w="2493"/>
          </w:tcPr>
          <w:p>
            <w:r>
              <w:rPr>
                <w:b w:val="0"/>
                <w:sz w:val="17"/>
              </w:rPr>
            </w:r>
            <w:r>
              <w:rPr>
                <w:b w:val="0"/>
                <w:i w:val="0"/>
                <w:sz w:val="17"/>
              </w:rPr>
              <w:t>Dr Thom</w:t>
            </w:r>
          </w:p>
        </w:tc>
        <w:tc>
          <w:tcPr>
            <w:tcW w:type="dxa" w:w="2493"/>
          </w:tcPr>
          <w:p>
            <w:r>
              <w:rPr>
                <w:b w:val="0"/>
                <w:sz w:val="17"/>
              </w:rPr>
            </w:r>
            <w:r>
              <w:rPr>
                <w:b w:val="0"/>
                <w:i w:val="0"/>
                <w:sz w:val="17"/>
              </w:rPr>
              <w:t>The first month not yet locked after the comparison report is reviewed</w:t>
            </w:r>
          </w:p>
        </w:tc>
      </w:tr>
    </w:tbl>
    <w:p/>
    <w:p>
      <w:pPr>
        <w:pStyle w:val="Heading2"/>
      </w:pPr>
      <w:r>
        <w:t>9. How we will know it works</w:t>
      </w:r>
    </w:p>
    <w:p>
      <w:pPr>
        <w:pStyle w:val="ListNumber"/>
      </w:pPr>
      <w:r>
        <w:rPr>
          <w:b w:val="0"/>
          <w:i w:val="0"/>
        </w:rPr>
        <w:t>With every change switched off, the PDs, the ECL and the golden values are exactly as today.</w:t>
      </w:r>
    </w:p>
    <w:p>
      <w:pPr>
        <w:pStyle w:val="ListNumber"/>
      </w:pPr>
      <w:r>
        <w:rPr>
          <w:b w:val="0"/>
          <w:i w:val="0"/>
        </w:rPr>
        <w:t>Each change, switched on alone in the workspace, changes the PDs only in the way it describes, and the comparison report explains every difference.</w:t>
      </w:r>
    </w:p>
    <w:p>
      <w:pPr>
        <w:pStyle w:val="ListNumber"/>
      </w:pPr>
      <w:r>
        <w:rPr>
          <w:b w:val="0"/>
          <w:i w:val="0"/>
        </w:rPr>
        <w:t>With changes 1 to 5 on, no group has a Stage 2 PD below its Stage 1 PD.</w:t>
      </w:r>
    </w:p>
    <w:p>
      <w:pPr>
        <w:pStyle w:val="ListNumber"/>
      </w:pPr>
      <w:r>
        <w:rPr>
          <w:b w:val="0"/>
          <w:i w:val="0"/>
        </w:rPr>
        <w:t>A PD worked out under change 5 is the same whichever staging policy is in force.</w:t>
      </w:r>
    </w:p>
    <w:p>
      <w:pPr>
        <w:pStyle w:val="ListNumber"/>
      </w:pPr>
      <w:r>
        <w:rPr>
          <w:b w:val="0"/>
          <w:i w:val="0"/>
        </w:rPr>
        <w:t>The backtest compares, for each quarter, the defaults predicted with those observed, by group, and the benchmark compares each group's PD with the S&amp;P PD for the nearest grade.</w:t>
      </w:r>
    </w:p>
    <w:p>
      <w:pPr>
        <w:pStyle w:val="ListNumber"/>
      </w:pPr>
      <w:r>
        <w:rPr>
          <w:b w:val="0"/>
          <w:i w:val="0"/>
        </w:rPr>
        <w:t>No booked figure moves until a change is approved in the Governance Centre.</w:t>
      </w:r>
    </w:p>
    <w:p>
      <w:pPr>
        <w:pStyle w:val="Heading2"/>
      </w:pPr>
      <w:r>
        <w:t>10. Build order</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B2A41"/>
          </w:tcPr>
          <w:p>
            <w:r>
              <w:rPr>
                <w:b/>
                <w:color w:val="FFFFFF"/>
                <w:sz w:val="17"/>
              </w:rPr>
            </w:r>
            <w:r>
              <w:rPr>
                <w:b/>
                <w:i w:val="0"/>
                <w:color w:val="FFFFFF"/>
                <w:sz w:val="17"/>
              </w:rPr>
              <w:t>Step</w:t>
            </w:r>
          </w:p>
        </w:tc>
        <w:tc>
          <w:tcPr>
            <w:tcW w:type="dxa" w:w="3324"/>
            <w:shd w:val="clear" w:color="auto" w:fill="1B2A41"/>
          </w:tcPr>
          <w:p>
            <w:r>
              <w:rPr>
                <w:b/>
                <w:color w:val="FFFFFF"/>
                <w:sz w:val="17"/>
              </w:rPr>
            </w:r>
            <w:r>
              <w:rPr>
                <w:b/>
                <w:i w:val="0"/>
                <w:color w:val="FFFFFF"/>
                <w:sz w:val="17"/>
              </w:rPr>
              <w:t>Work</w:t>
            </w:r>
          </w:p>
        </w:tc>
        <w:tc>
          <w:tcPr>
            <w:tcW w:type="dxa" w:w="3324"/>
            <w:shd w:val="clear" w:color="auto" w:fill="1B2A41"/>
          </w:tcPr>
          <w:p>
            <w:r>
              <w:rPr>
                <w:b/>
                <w:color w:val="FFFFFF"/>
                <w:sz w:val="17"/>
              </w:rPr>
            </w:r>
            <w:r>
              <w:rPr>
                <w:b/>
                <w:i w:val="0"/>
                <w:color w:val="FFFFFF"/>
                <w:sz w:val="17"/>
              </w:rPr>
              <w:t>Size</w:t>
            </w:r>
          </w:p>
        </w:tc>
      </w:tr>
      <w:tr>
        <w:tc>
          <w:tcPr>
            <w:tcW w:type="dxa" w:w="3324"/>
          </w:tcPr>
          <w:p>
            <w:r>
              <w:rPr>
                <w:b w:val="0"/>
                <w:sz w:val="17"/>
              </w:rPr>
            </w:r>
            <w:r>
              <w:rPr>
                <w:b w:val="0"/>
                <w:i w:val="0"/>
                <w:sz w:val="17"/>
              </w:rPr>
              <w:t>1</w:t>
            </w:r>
          </w:p>
        </w:tc>
        <w:tc>
          <w:tcPr>
            <w:tcW w:type="dxa" w:w="3324"/>
          </w:tcPr>
          <w:p>
            <w:r>
              <w:rPr>
                <w:b w:val="0"/>
                <w:sz w:val="17"/>
              </w:rPr>
            </w:r>
            <w:r>
              <w:rPr>
                <w:b w:val="0"/>
                <w:i w:val="0"/>
                <w:sz w:val="17"/>
              </w:rPr>
              <w:t>The five settings, off by default, and the PD engine reading them</w:t>
            </w:r>
          </w:p>
        </w:tc>
        <w:tc>
          <w:tcPr>
            <w:tcW w:type="dxa" w:w="3324"/>
          </w:tcPr>
          <w:p>
            <w:r>
              <w:rPr>
                <w:b w:val="0"/>
                <w:sz w:val="17"/>
              </w:rPr>
            </w:r>
            <w:r>
              <w:rPr>
                <w:b w:val="0"/>
                <w:i w:val="0"/>
                <w:sz w:val="17"/>
              </w:rPr>
              <w:t>About 1 day</w:t>
            </w:r>
          </w:p>
        </w:tc>
      </w:tr>
      <w:tr>
        <w:tc>
          <w:tcPr>
            <w:tcW w:type="dxa" w:w="3324"/>
          </w:tcPr>
          <w:p>
            <w:r>
              <w:rPr>
                <w:b w:val="0"/>
                <w:sz w:val="17"/>
              </w:rPr>
            </w:r>
            <w:r>
              <w:rPr>
                <w:b w:val="0"/>
                <w:i w:val="0"/>
                <w:sz w:val="17"/>
              </w:rPr>
              <w:t>2</w:t>
            </w:r>
          </w:p>
        </w:tc>
        <w:tc>
          <w:tcPr>
            <w:tcW w:type="dxa" w:w="3324"/>
          </w:tcPr>
          <w:p>
            <w:r>
              <w:rPr>
                <w:b w:val="0"/>
                <w:sz w:val="17"/>
              </w:rPr>
            </w:r>
            <w:r>
              <w:rPr>
                <w:b w:val="0"/>
                <w:i w:val="0"/>
                <w:sz w:val="17"/>
              </w:rPr>
              <w:t>The PD calibration comparison in a workspace, with its report and export</w:t>
            </w:r>
          </w:p>
        </w:tc>
        <w:tc>
          <w:tcPr>
            <w:tcW w:type="dxa" w:w="3324"/>
          </w:tcPr>
          <w:p>
            <w:r>
              <w:rPr>
                <w:b w:val="0"/>
                <w:sz w:val="17"/>
              </w:rPr>
            </w:r>
            <w:r>
              <w:rPr>
                <w:b w:val="0"/>
                <w:i w:val="0"/>
                <w:sz w:val="17"/>
              </w:rPr>
              <w:t>About 1 day</w:t>
            </w:r>
          </w:p>
        </w:tc>
      </w:tr>
      <w:tr>
        <w:tc>
          <w:tcPr>
            <w:tcW w:type="dxa" w:w="3324"/>
          </w:tcPr>
          <w:p>
            <w:r>
              <w:rPr>
                <w:b w:val="0"/>
                <w:sz w:val="17"/>
              </w:rPr>
            </w:r>
            <w:r>
              <w:rPr>
                <w:b w:val="0"/>
                <w:i w:val="0"/>
                <w:sz w:val="17"/>
              </w:rPr>
              <w:t>3</w:t>
            </w:r>
          </w:p>
        </w:tc>
        <w:tc>
          <w:tcPr>
            <w:tcW w:type="dxa" w:w="3324"/>
          </w:tcPr>
          <w:p>
            <w:r>
              <w:rPr>
                <w:b w:val="0"/>
                <w:sz w:val="17"/>
              </w:rPr>
            </w:r>
            <w:r>
              <w:rPr>
                <w:b w:val="0"/>
                <w:i w:val="0"/>
                <w:sz w:val="17"/>
              </w:rPr>
              <w:t>The quarterly backtest and the benchmark</w:t>
            </w:r>
          </w:p>
        </w:tc>
        <w:tc>
          <w:tcPr>
            <w:tcW w:type="dxa" w:w="3324"/>
          </w:tcPr>
          <w:p>
            <w:r>
              <w:rPr>
                <w:b w:val="0"/>
                <w:sz w:val="17"/>
              </w:rPr>
            </w:r>
            <w:r>
              <w:rPr>
                <w:b w:val="0"/>
                <w:i w:val="0"/>
                <w:sz w:val="17"/>
              </w:rPr>
              <w:t>About half a day</w:t>
            </w:r>
          </w:p>
        </w:tc>
      </w:tr>
      <w:tr>
        <w:tc>
          <w:tcPr>
            <w:tcW w:type="dxa" w:w="3324"/>
          </w:tcPr>
          <w:p>
            <w:r>
              <w:rPr>
                <w:b w:val="0"/>
                <w:sz w:val="17"/>
              </w:rPr>
            </w:r>
            <w:r>
              <w:rPr>
                <w:b w:val="0"/>
                <w:i w:val="0"/>
                <w:sz w:val="17"/>
              </w:rPr>
              <w:t>4</w:t>
            </w:r>
          </w:p>
        </w:tc>
        <w:tc>
          <w:tcPr>
            <w:tcW w:type="dxa" w:w="3324"/>
          </w:tcPr>
          <w:p>
            <w:r>
              <w:rPr>
                <w:b w:val="0"/>
                <w:sz w:val="17"/>
              </w:rPr>
            </w:r>
            <w:r>
              <w:rPr>
                <w:b w:val="0"/>
                <w:i w:val="0"/>
                <w:sz w:val="17"/>
              </w:rPr>
              <w:t>The first comparison report for December 2025 and September 2026, for Dr Thom</w:t>
            </w:r>
          </w:p>
        </w:tc>
        <w:tc>
          <w:tcPr>
            <w:tcW w:type="dxa" w:w="3324"/>
          </w:tcPr>
          <w:p>
            <w:r>
              <w:rPr>
                <w:b w:val="0"/>
                <w:sz w:val="17"/>
              </w:rPr>
            </w:r>
            <w:r>
              <w:rPr>
                <w:b w:val="0"/>
                <w:i w:val="0"/>
                <w:sz w:val="17"/>
              </w:rPr>
              <w:t>Half a day</w:t>
            </w:r>
          </w:p>
        </w:tc>
      </w:tr>
    </w:tbl>
    <w:p/>
    <w:p>
      <w:pPr>
        <w:spacing w:after="120"/>
      </w:pPr>
      <w:r>
        <w:rPr>
          <w:b w:val="0"/>
          <w:i w:val="0"/>
        </w:rPr>
        <w:t>About three days in all, on its own branch, merged with the usual proof (the full test suite and two fresh bootstraps whose golden values are unchanged while every setting is off).</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eastAsia="Segoe U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eastAsia="Segoe UI"/>
      <w:b/>
      <w:bCs/>
      <w:color w:val="1B2A41"/>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eastAsia="Segoe UI"/>
      <w:b/>
      <w:bCs/>
      <w:color w:val="E07B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eastAsia="Segoe UI"/>
      <w:b/>
      <w:bCs/>
      <w:color w:val="1B2A4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PD Calibration Specification v1</dc:title>
  <dc:subject/>
  <dc:creator>Dupleix Institute</dc:creator>
  <cp:keywords/>
  <dc:description>generated by python-docx</dc:description>
  <cp:lastModifiedBy/>
  <cp:revision>1</cp:revision>
  <dcterms:created xsi:type="dcterms:W3CDTF">2013-12-23T23:15:00Z</dcterms:created>
  <dcterms:modified xsi:type="dcterms:W3CDTF">2013-12-23T23:15:00Z</dcterms:modified>
  <cp:category/>
</cp:coreProperties>
</file>