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the head of 9 October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Shell, shared styles, the tree and the help centre (114 passages re-worded, a navigation article) built; the page-by-page dark sweep (11.9) remains</w:t>
            </w:r>
          </w:p>
        </w:tc>
        <w:tc>
          <w:tcPr>
            <w:tcW w:type="dxa" w:w="2493"/>
          </w:tcPr>
          <w:p>
            <w:r>
              <w:rPr>
                <w:b w:val="0"/>
                <w:sz w:val="17"/>
              </w:rPr>
            </w:r>
            <w:r>
              <w:rPr>
                <w:rFonts w:ascii="Consolas" w:hAnsi="Consolas"/>
                <w:b w:val="0"/>
                <w:i w:val="0"/>
                <w:sz w:val="17"/>
              </w:rPr>
              <w:t>config/menu.php</w:t>
            </w:r>
            <w:r>
              <w:rPr>
                <w:b w:val="0"/>
                <w:i w:val="0"/>
                <w:sz w:val="17"/>
              </w:rPr>
              <w:t xml:space="preserve">, </w:t>
            </w:r>
            <w:r>
              <w:rPr>
                <w:rFonts w:ascii="Consolas" w:hAnsi="Consolas"/>
                <w:b w:val="0"/>
                <w:i w:val="0"/>
                <w:sz w:val="17"/>
              </w:rPr>
              <w:t>AppLayout.vue</w:t>
            </w:r>
            <w:r>
              <w:rPr>
                <w:b w:val="0"/>
                <w:i w:val="0"/>
                <w:sz w:val="17"/>
              </w:rPr>
              <w:t xml:space="preserve">, </w:t>
            </w:r>
            <w:r>
              <w:rPr>
                <w:rFonts w:ascii="Consolas" w:hAnsi="Consolas"/>
                <w:b w:val="0"/>
                <w:i w:val="0"/>
                <w:sz w:val="17"/>
              </w:rPr>
              <w:t>useTheme.js</w:t>
            </w:r>
            <w:r>
              <w:rPr>
                <w:b w:val="0"/>
                <w:i w:val="0"/>
                <w:sz w:val="17"/>
              </w:rPr>
              <w:t xml:space="preserve">, </w:t>
            </w:r>
            <w:r>
              <w:rPr>
                <w:rFonts w:ascii="Consolas" w:hAnsi="Consolas"/>
                <w:b w:val="0"/>
                <w:i w:val="0"/>
                <w:sz w:val="17"/>
              </w:rPr>
              <w:t>NavigationTest</w:t>
            </w:r>
            <w:r>
              <w:rPr>
                <w:b w:val="0"/>
                <w:i w:val="0"/>
                <w:sz w:val="17"/>
              </w:rPr>
              <w:t>, the help seeders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 in the screen and beside the setting</w:t>
            </w:r>
          </w:p>
        </w:tc>
        <w:tc>
          <w:tcPr>
            <w:tcW w:type="dxa" w:w="2493"/>
          </w:tcPr>
          <w:p>
            <w:r>
              <w:rPr>
                <w:b w:val="0"/>
                <w:sz w:val="17"/>
              </w:rPr>
            </w:r>
            <w:r>
              <w:rPr>
                <w:b w:val="0"/>
                <w:i w:val="0"/>
                <w:sz w:val="17"/>
              </w:rPr>
              <w:t xml:space="preserve">Yes: the cards are on the FLI Adjustments screen and inline on the </w:t>
            </w:r>
            <w:r>
              <w:rPr>
                <w:rFonts w:ascii="Consolas" w:hAnsi="Consolas"/>
                <w:b w:val="0"/>
                <w:i w:val="0"/>
                <w:sz w:val="17"/>
              </w:rPr>
              <w:t>fli_transmission_method</w:t>
            </w:r>
            <w:r>
              <w:rPr>
                <w:b w:val="0"/>
                <w:i w:val="0"/>
                <w:sz w:val="17"/>
              </w:rPr>
              <w:t xml:space="preserve"> setting in the Governance Centre, with a badge saying whether each method can be selected</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xml:space="preserve">, </w:t>
            </w:r>
            <w:r>
              <w:rPr>
                <w:rFonts w:ascii="Consolas" w:hAnsi="Consolas"/>
                <w:b w:val="0"/>
                <w:i w:val="0"/>
                <w:sz w:val="17"/>
              </w:rPr>
              <w:t>Pages/Eir/Governance.vue</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 its screen</w:t>
            </w:r>
          </w:p>
        </w:tc>
        <w:tc>
          <w:tcPr>
            <w:tcW w:type="dxa" w:w="2493"/>
          </w:tcPr>
          <w:p>
            <w:r>
              <w:rPr>
                <w:b w:val="0"/>
                <w:sz w:val="17"/>
              </w:rPr>
            </w:r>
            <w:r>
              <w:rPr>
                <w:b w:val="0"/>
                <w:i w:val="0"/>
                <w:sz w:val="17"/>
              </w:rPr>
              <w:t>Built and run on the November 2025 book; Financial Modelling / Mega Farm Programme shows the book by scheme and stage, the settings in force and each run with its basis or declined reason;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r>
              <w:rPr>
                <w:b w:val="0"/>
                <w:i w:val="0"/>
                <w:sz w:val="17"/>
              </w:rPr>
              <w:t xml:space="preserve">, </w:t>
            </w:r>
            <w:r>
              <w:rPr>
                <w:rFonts w:ascii="Consolas" w:hAnsi="Consolas"/>
                <w:b w:val="0"/>
                <w:i w:val="0"/>
                <w:sz w:val="17"/>
              </w:rPr>
              <w:t>Pages/MegaFarm/Index.vue</w:t>
            </w:r>
          </w:p>
        </w:tc>
      </w:tr>
      <w:tr>
        <w:tc>
          <w:tcPr>
            <w:tcW w:type="dxa" w:w="2493"/>
          </w:tcPr>
          <w:p>
            <w:r>
              <w:rPr>
                <w:b w:val="0"/>
                <w:sz w:val="17"/>
              </w:rPr>
            </w:r>
            <w:r>
              <w:rPr>
                <w:b w:val="0"/>
                <w:i w:val="0"/>
                <w:sz w:val="17"/>
              </w:rPr>
              <w:t>12.2 / directive s.17 The RBM return</w:t>
            </w:r>
          </w:p>
        </w:tc>
        <w:tc>
          <w:tcPr>
            <w:tcW w:type="dxa" w:w="2493"/>
          </w:tcPr>
          <w:p>
            <w:r>
              <w:rPr>
                <w:b w:val="0"/>
                <w:sz w:val="17"/>
              </w:rPr>
            </w:r>
            <w:r>
              <w:rPr>
                <w:b w:val="0"/>
                <w:i w:val="0"/>
                <w:sz w:val="17"/>
              </w:rPr>
              <w:t>The classification and provisioning return to the Reserve Bank, mapped line for line to the prescribed form</w:t>
            </w:r>
          </w:p>
        </w:tc>
        <w:tc>
          <w:tcPr>
            <w:tcW w:type="dxa" w:w="2493"/>
          </w:tcPr>
          <w:p>
            <w:r>
              <w:rPr>
                <w:b w:val="0"/>
                <w:sz w:val="17"/>
              </w:rPr>
            </w:r>
            <w:r>
              <w:rPr>
                <w:b w:val="0"/>
                <w:i w:val="0"/>
                <w:sz w:val="17"/>
              </w:rPr>
              <w:t>Provisional layout built and filled from the system in the directive's own order: A the facilities by class and term under the directive's day bands (90/180/360 short-term; 180/360/720 medium and long), B the minimum provision per class against the IFRS 9 allowance with the higher of the two, C interest in suspense, D restructured facilities (awaiting the Reschedule Report), E the security on the register; on the screen and as CSV, every output marked provisional. On the August 2026 book: 135 facilities, K23.32bn, NPL 31.98 percent, minimum provision K3.41bn against the IFRS 9 allowance of K8.94bn, suspense K114.3m. The lines are re-ordered and re-worded to the prescribed form when MAIIC Risk supplies it; the figures stay</w:t>
            </w:r>
          </w:p>
        </w:tc>
        <w:tc>
          <w:tcPr>
            <w:tcW w:type="dxa" w:w="2493"/>
          </w:tcPr>
          <w:p>
            <w:r>
              <w:rPr>
                <w:b w:val="0"/>
                <w:sz w:val="17"/>
              </w:rPr>
            </w:r>
            <w:r>
              <w:rPr>
                <w:rFonts w:ascii="Consolas" w:hAnsi="Consolas"/>
                <w:b w:val="0"/>
                <w:i w:val="0"/>
                <w:sz w:val="17"/>
              </w:rPr>
              <w:t>RbmReturnService</w:t>
            </w:r>
            <w:r>
              <w:rPr>
                <w:b w:val="0"/>
                <w:i w:val="0"/>
                <w:sz w:val="17"/>
              </w:rPr>
              <w:t xml:space="preserve">, </w:t>
            </w:r>
            <w:r>
              <w:rPr>
                <w:rFonts w:ascii="Consolas" w:hAnsi="Consolas"/>
                <w:b w:val="0"/>
                <w:i w:val="0"/>
                <w:sz w:val="17"/>
              </w:rPr>
              <w:t>RbmReturnController</w:t>
            </w:r>
            <w:r>
              <w:rPr>
                <w:b w:val="0"/>
                <w:i w:val="0"/>
                <w:sz w:val="17"/>
              </w:rPr>
              <w:t>, Risk &amp; Regulatory / RBM Return (provisional), 2 tests; workbook 4 row 17 and findings F2, F3</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31 schedules generated and approved under the bootstrap label; 31 EIRs solved; 12 locked; 19 blocked at the fee gate because the rulebook is unapproved</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138 roll-forward rows, 12 contracts, January 2025 to August 2026; 107 months take their cash from the ledger</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August 2026 computed on the pre-FLI PD</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PD to Stage 3 of 35.9% from Stage 1 and 35.2% from Stage 2</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23.5%, LGD 60.25%</w:t>
            </w:r>
          </w:p>
        </w:tc>
      </w:tr>
      <w:tr>
        <w:tc>
          <w:tcPr>
            <w:tcW w:type="dxa" w:w="4986"/>
          </w:tcPr>
          <w:p>
            <w:r>
              <w:rPr>
                <w:b w:val="0"/>
                <w:sz w:val="17"/>
              </w:rPr>
            </w:r>
            <w:r>
              <w:rPr>
                <w:b w:val="0"/>
                <w:i w:val="0"/>
                <w:sz w:val="17"/>
              </w:rPr>
              <w:t>ECL, August 2026</w:t>
            </w:r>
          </w:p>
        </w:tc>
        <w:tc>
          <w:tcPr>
            <w:tcW w:type="dxa" w:w="4986"/>
          </w:tcPr>
          <w:p>
            <w:r>
              <w:rPr>
                <w:b w:val="0"/>
                <w:sz w:val="17"/>
              </w:rPr>
            </w:r>
            <w:r>
              <w:rPr>
                <w:b w:val="0"/>
                <w:i w:val="0"/>
                <w:sz w:val="17"/>
              </w:rPr>
              <w:t>8.33bn on 23.32bn gross: Stage 1 1.58bn, Stage 2 1.82bn, Stage 3 4.93bn</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base 9.63bn, upside 9.00bn, downside 11.10bn, severe 12.99bn, weighted 10.24bn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The best applied fit on a book-level proxy (the PLR to the Stage 3 share, lag 9) approved under the label; adjustments of -8.7% upside, +21.8% downside, +34.9% severe; the ECL on the post-FLI PD 8.94bn</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base 8.94bn, upside 8.31bn (-7.1%), downside 10.22bn (+14.3%), severe 11.86bn (+32.7%)</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RBM return in the prescribed form</w:t>
            </w:r>
          </w:p>
        </w:tc>
        <w:tc>
          <w:tcPr>
            <w:tcW w:type="dxa" w:w="3324"/>
          </w:tcPr>
          <w:p>
            <w:r>
              <w:rPr>
                <w:b w:val="0"/>
                <w:sz w:val="17"/>
              </w:rPr>
            </w:r>
            <w:r>
              <w:rPr>
                <w:b w:val="0"/>
                <w:i w:val="0"/>
                <w:sz w:val="17"/>
              </w:rPr>
              <w:t>12.2, directive s.17</w:t>
            </w:r>
          </w:p>
        </w:tc>
        <w:tc>
          <w:tcPr>
            <w:tcW w:type="dxa" w:w="3324"/>
          </w:tcPr>
          <w:p>
            <w:r>
              <w:rPr>
                <w:b w:val="0"/>
                <w:sz w:val="17"/>
              </w:rPr>
            </w:r>
            <w:r>
              <w:rPr>
                <w:b w:val="0"/>
                <w:i w:val="0"/>
                <w:sz w:val="17"/>
              </w:rPr>
              <w:t>MAIIC Risk's current form (the Excel or PDF sent to the Bank). The provisional return fills every line in the directive's order; when the form arrives its lines are re-ordered and re-worded to it line for line, the figures unchanged (workbook 4, finding F2)</w:t>
            </w:r>
          </w:p>
        </w:tc>
      </w:tr>
      <w:tr>
        <w:tc>
          <w:tcPr>
            <w:tcW w:type="dxa" w:w="3324"/>
          </w:tcPr>
          <w:p>
            <w:r>
              <w:rPr>
                <w:b w:val="0"/>
                <w:sz w:val="17"/>
              </w:rPr>
            </w:r>
            <w:r>
              <w:rPr>
                <w:b w:val="0"/>
                <w:i w:val="0"/>
                <w:sz w:val="17"/>
              </w:rPr>
              <w:t>The RBM Classification report's day bands</w:t>
            </w:r>
          </w:p>
        </w:tc>
        <w:tc>
          <w:tcPr>
            <w:tcW w:type="dxa" w:w="3324"/>
          </w:tcPr>
          <w:p>
            <w:r>
              <w:rPr>
                <w:b w:val="0"/>
                <w:sz w:val="17"/>
              </w:rPr>
            </w:r>
            <w:r>
              <w:rPr>
                <w:b w:val="0"/>
                <w:i w:val="0"/>
                <w:sz w:val="17"/>
              </w:rPr>
              <w:t>directive s.9 to 11</w:t>
            </w:r>
          </w:p>
        </w:tc>
        <w:tc>
          <w:tcPr>
            <w:tcW w:type="dxa" w:w="3324"/>
          </w:tcPr>
          <w:p>
            <w:r>
              <w:rPr>
                <w:b w:val="0"/>
                <w:sz w:val="17"/>
              </w:rPr>
            </w:r>
            <w:r>
              <w:rPr>
                <w:b w:val="0"/>
                <w:i w:val="0"/>
                <w:sz w:val="17"/>
              </w:rPr>
              <w:t>The older report classifies on one ladder (90, 180, 365 days); the return applies the directive's bands by term. Align the report to the return or retire it (workbook 4, finding F3)</w:t>
            </w:r>
          </w:p>
        </w:tc>
      </w:tr>
      <w:tr>
        <w:tc>
          <w:tcPr>
            <w:tcW w:type="dxa" w:w="3324"/>
          </w:tcPr>
          <w:p>
            <w:r>
              <w:rPr>
                <w:b w:val="0"/>
                <w:sz w:val="17"/>
              </w:rPr>
            </w:r>
            <w:r>
              <w:rPr>
                <w:b w:val="0"/>
                <w:i w:val="0"/>
                <w:sz w:val="17"/>
              </w:rPr>
              <w:t>The dark-mode page sweep</w:t>
            </w:r>
          </w:p>
        </w:tc>
        <w:tc>
          <w:tcPr>
            <w:tcW w:type="dxa" w:w="3324"/>
          </w:tcPr>
          <w:p>
            <w:r>
              <w:rPr>
                <w:b w:val="0"/>
                <w:sz w:val="17"/>
              </w:rPr>
            </w:r>
            <w:r>
              <w:rPr>
                <w:b w:val="0"/>
                <w:i w:val="0"/>
                <w:sz w:val="17"/>
              </w:rPr>
              <w:t>11.9</w:t>
            </w:r>
          </w:p>
        </w:tc>
        <w:tc>
          <w:tcPr>
            <w:tcW w:type="dxa" w:w="3324"/>
          </w:tcPr>
          <w:p>
            <w:r>
              <w:rPr>
                <w:b w:val="0"/>
                <w:sz w:val="17"/>
              </w:rPr>
            </w:r>
            <w:r>
              <w:rPr>
                <w:b w:val="0"/>
                <w:i w:val="0"/>
                <w:sz w:val="17"/>
              </w:rPr>
              <w:t>Ongoing: the shell and the shared classes carry the theme; pages that style elements directly are swept group by group as they are touched</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tests/Feature/Rbm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test run above: 308 passed, 24 skipped.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app/Services/Rbm/RbmReturnService.php</w:t>
      </w:r>
      <w:r>
        <w:rPr>
          <w:b w:val="0"/>
          <w:i w:val="0"/>
        </w:rPr>
        <w:t xml:space="preserve">, </w:t>
      </w:r>
      <w:r>
        <w:rPr>
          <w:rFonts w:ascii="Consolas" w:hAnsi="Consolas"/>
          <w:b w:val="0"/>
          <w:i w:val="0"/>
          <w:sz w:val="18"/>
        </w:rPr>
        <w:t>app/Http/Controllers/RbmReturnController.php</w:t>
      </w:r>
      <w:r>
        <w:rPr>
          <w:b w:val="0"/>
          <w:i w:val="0"/>
        </w:rPr>
        <w:t xml:space="preserve">, </w:t>
      </w:r>
      <w:r>
        <w:rPr>
          <w:rFonts w:ascii="Consolas" w:hAnsi="Consolas"/>
          <w:b w:val="0"/>
          <w:i w:val="0"/>
          <w:sz w:val="18"/>
        </w:rPr>
        <w:t>resources/js/Pages/Reports/RbmReturn.vue</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