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w:t>
      </w:r>
      <w:r>
        <w:rPr>
          <w:rFonts w:ascii="Consolas" w:hAnsi="Consolas"/>
          <w:b w:val="0"/>
          <w:i w:val="0"/>
          <w:sz w:val="18"/>
        </w:rPr>
        <w:t>a86e88b</w:t>
      </w:r>
      <w:r>
        <w:rPr>
          <w:b w:val="0"/>
          <w:i w:val="0"/>
        </w:rPr>
        <w:t xml:space="preserve"> (three rounds on 8 and 9 October)).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Routes 1 (manual), 2 (the polled folder, scheduled) and 3 (the API push) built through the one door; the SQLcl export template for route 2 committed; routes 4 and 5 await ICT and the vendor</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eir:poll-feed-folder</w:t>
            </w:r>
            <w:r>
              <w:rPr>
                <w:b w:val="0"/>
                <w:i w:val="0"/>
                <w:sz w:val="17"/>
              </w:rPr>
              <w:t xml:space="preserve">, the </w:t>
            </w:r>
            <w:r>
              <w:rPr>
                <w:rFonts w:ascii="Consolas" w:hAnsi="Consolas"/>
                <w:b w:val="0"/>
                <w:i w:val="0"/>
                <w:sz w:val="17"/>
              </w:rPr>
              <w:t>ebanker-feed.api</w:t>
            </w:r>
            <w:r>
              <w:rPr>
                <w:b w:val="0"/>
                <w:i w:val="0"/>
                <w:sz w:val="17"/>
              </w:rPr>
              <w:t xml:space="preserve"> route</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All twelve run from one command: macro, the scenario set, staging, PD, LGD, the forward-looking chain and route, the ECL on the post-FLI PD, the EIR and revenue, the reconciliation, stress testing for every scenario, every report, the compliance register; the Mega Farm step runs where the book holds the programme</w:t>
            </w:r>
          </w:p>
        </w:tc>
        <w:tc>
          <w:tcPr>
            <w:tcW w:type="dxa" w:w="2493"/>
          </w:tcPr>
          <w:p>
            <w:r>
              <w:rPr>
                <w:b w:val="0"/>
                <w:sz w:val="17"/>
              </w:rPr>
            </w:r>
            <w:r>
              <w:rPr>
                <w:rFonts w:ascii="Consolas" w:hAnsi="Consolas"/>
                <w:b w:val="0"/>
                <w:i w:val="0"/>
                <w:sz w:val="17"/>
              </w:rPr>
              <w:t>Bootstrap::stepEngines</w:t>
            </w:r>
            <w:r>
              <w:rPr>
                <w:b w:val="0"/>
                <w:i w:val="0"/>
                <w:sz w:val="17"/>
              </w:rPr>
              <w:t xml:space="preserve">; </w:t>
            </w:r>
            <w:r>
              <w:rPr>
                <w:rFonts w:ascii="Consolas" w:hAnsi="Consolas"/>
                <w:b w:val="0"/>
                <w:i w:val="0"/>
                <w:sz w:val="17"/>
              </w:rPr>
              <w:t>PdEngineService</w:t>
            </w:r>
            <w:r>
              <w:rPr>
                <w:b w:val="0"/>
                <w:i w:val="0"/>
                <w:sz w:val="17"/>
              </w:rPr>
              <w:t xml:space="preserve">, </w:t>
            </w:r>
            <w:r>
              <w:rPr>
                <w:rFonts w:ascii="Consolas" w:hAnsi="Consolas"/>
                <w:b w:val="0"/>
                <w:i w:val="0"/>
                <w:sz w:val="17"/>
              </w:rPr>
              <w:t>LgdEngineService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StressTestService</w:t>
            </w:r>
            <w:r>
              <w:rPr>
                <w:b w:val="0"/>
                <w:i w:val="0"/>
                <w:sz w:val="17"/>
              </w:rPr>
              <w:t xml:space="preserve">, </w:t>
            </w:r>
            <w:r>
              <w:rPr>
                <w:rFonts w:ascii="Consolas" w:hAnsi="Consolas"/>
                <w:b w:val="0"/>
                <w:i w:val="0"/>
                <w:sz w:val="17"/>
              </w:rPr>
              <w:t>MegaFarmEclService</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 the help texts</w:t>
            </w:r>
          </w:p>
        </w:tc>
        <w:tc>
          <w:tcPr>
            <w:tcW w:type="dxa" w:w="2493"/>
          </w:tcPr>
          <w:p>
            <w:r>
              <w:rPr>
                <w:b w:val="0"/>
                <w:sz w:val="17"/>
              </w:rPr>
            </w:r>
            <w:r>
              <w:rPr>
                <w:b w:val="0"/>
                <w:i w:val="0"/>
                <w:sz w:val="17"/>
              </w:rPr>
              <w:t>Shell, shared styles, the tree and the help centre (114 passages re-worded, a navigation article) built; the page-by-page dark sweep (11.9) remains</w:t>
            </w:r>
          </w:p>
        </w:tc>
        <w:tc>
          <w:tcPr>
            <w:tcW w:type="dxa" w:w="2493"/>
          </w:tcPr>
          <w:p>
            <w:r>
              <w:rPr>
                <w:b w:val="0"/>
                <w:sz w:val="17"/>
              </w:rPr>
            </w:r>
            <w:r>
              <w:rPr>
                <w:rFonts w:ascii="Consolas" w:hAnsi="Consolas"/>
                <w:b w:val="0"/>
                <w:i w:val="0"/>
                <w:sz w:val="17"/>
              </w:rPr>
              <w:t>config/menu.php</w:t>
            </w:r>
            <w:r>
              <w:rPr>
                <w:b w:val="0"/>
                <w:i w:val="0"/>
                <w:sz w:val="17"/>
              </w:rPr>
              <w:t xml:space="preserve">, </w:t>
            </w:r>
            <w:r>
              <w:rPr>
                <w:rFonts w:ascii="Consolas" w:hAnsi="Consolas"/>
                <w:b w:val="0"/>
                <w:i w:val="0"/>
                <w:sz w:val="17"/>
              </w:rPr>
              <w:t>AppLayout.vue</w:t>
            </w:r>
            <w:r>
              <w:rPr>
                <w:b w:val="0"/>
                <w:i w:val="0"/>
                <w:sz w:val="17"/>
              </w:rPr>
              <w:t xml:space="preserve">, </w:t>
            </w:r>
            <w:r>
              <w:rPr>
                <w:rFonts w:ascii="Consolas" w:hAnsi="Consolas"/>
                <w:b w:val="0"/>
                <w:i w:val="0"/>
                <w:sz w:val="17"/>
              </w:rPr>
              <w:t>useTheme.js</w:t>
            </w:r>
            <w:r>
              <w:rPr>
                <w:b w:val="0"/>
                <w:i w:val="0"/>
                <w:sz w:val="17"/>
              </w:rPr>
              <w:t xml:space="preserve">, </w:t>
            </w:r>
            <w:r>
              <w:rPr>
                <w:rFonts w:ascii="Consolas" w:hAnsi="Consolas"/>
                <w:b w:val="0"/>
                <w:i w:val="0"/>
                <w:sz w:val="17"/>
              </w:rPr>
              <w:t>NavigationTest</w:t>
            </w:r>
            <w:r>
              <w:rPr>
                <w:b w:val="0"/>
                <w:i w:val="0"/>
                <w:sz w:val="17"/>
              </w:rPr>
              <w:t>, the help seeders</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the World Bank fetcher, the IMF WEO parser, the RBM file, preview then commit, batches, the five-tab screen, the precedence rule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MacroStatisticsController</w:t>
            </w:r>
            <w:r>
              <w:rPr>
                <w:b w:val="0"/>
                <w:i w:val="0"/>
                <w:sz w:val="17"/>
              </w:rPr>
              <w:t xml:space="preserve">, </w:t>
            </w:r>
            <w:r>
              <w:rPr>
                <w:rFonts w:ascii="Consolas" w:hAnsi="Consolas"/>
                <w:b w:val="0"/>
                <w:i w:val="0"/>
                <w:sz w:val="17"/>
              </w:rPr>
              <w:t>Pages/Macro/Index.vue</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4 tests</w:t>
            </w:r>
          </w:p>
        </w:tc>
      </w:tr>
      <w:tr>
        <w:tc>
          <w:tcPr>
            <w:tcW w:type="dxa" w:w="2493"/>
          </w:tcPr>
          <w:p>
            <w:r>
              <w:rPr>
                <w:b w:val="0"/>
                <w:sz w:val="17"/>
              </w:rPr>
            </w:r>
            <w:r>
              <w:rPr>
                <w:b w:val="0"/>
                <w:i w:val="0"/>
                <w:sz w:val="17"/>
              </w:rPr>
              <w:t>14.3 to 14.8 Forward-looking chain and route</w:t>
            </w:r>
          </w:p>
        </w:tc>
        <w:tc>
          <w:tcPr>
            <w:tcW w:type="dxa" w:w="2493"/>
          </w:tcPr>
          <w:p>
            <w:r>
              <w:rPr>
                <w:b w:val="0"/>
                <w:sz w:val="17"/>
              </w:rPr>
            </w:r>
            <w:r>
              <w:rPr>
                <w:b w:val="0"/>
                <w:i w:val="0"/>
                <w:sz w:val="17"/>
              </w:rPr>
              <w:t>Guardrail, structural events, proxy deriver, profiler, correlation finder, regression; a fit approved under maker-checker; the route once per scenario; the lineage on every loan; the FLI Adjustments screen</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FliBridgeService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app/Services/Fli/*</w:t>
            </w:r>
            <w:r>
              <w:rPr>
                <w:b w:val="0"/>
                <w:i w:val="0"/>
                <w:sz w:val="17"/>
              </w:rPr>
              <w:t xml:space="preserve">, </w:t>
            </w:r>
            <w:r>
              <w:rPr>
                <w:rFonts w:ascii="Consolas" w:hAnsi="Consolas"/>
                <w:b w:val="0"/>
                <w:i w:val="0"/>
                <w:sz w:val="17"/>
              </w:rPr>
              <w:t>Pages/Fli/Adjustments.vue</w:t>
            </w:r>
            <w:r>
              <w:rPr>
                <w:b w:val="0"/>
                <w:i w:val="0"/>
                <w:sz w:val="17"/>
              </w:rPr>
              <w:t>, 4 tests</w:t>
            </w:r>
          </w:p>
        </w:tc>
      </w:tr>
      <w:tr>
        <w:tc>
          <w:tcPr>
            <w:tcW w:type="dxa" w:w="2493"/>
          </w:tcPr>
          <w:p>
            <w:r>
              <w:rPr>
                <w:b w:val="0"/>
                <w:sz w:val="17"/>
              </w:rPr>
            </w:r>
            <w:r>
              <w:rPr>
                <w:b w:val="0"/>
                <w:i w:val="0"/>
                <w:sz w:val="17"/>
              </w:rPr>
              <w:t>15 Scenario sets</w:t>
            </w:r>
          </w:p>
        </w:tc>
        <w:tc>
          <w:tcPr>
            <w:tcW w:type="dxa" w:w="2493"/>
          </w:tcPr>
          <w:p>
            <w:r>
              <w:rPr>
                <w:b w:val="0"/>
                <w:sz w:val="17"/>
              </w:rPr>
            </w:r>
            <w:r>
              <w:rPr>
                <w:b w:val="0"/>
                <w:i w:val="0"/>
                <w:sz w:val="17"/>
              </w:rPr>
              <w:t>The governed set: rules, shocks on the base, approval, lock, versions, back-test, sensitivity; the first set of 15.8</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ScenarioSetService</w:t>
            </w:r>
            <w:r>
              <w:rPr>
                <w:b w:val="0"/>
                <w:i w:val="0"/>
                <w:sz w:val="17"/>
              </w:rPr>
              <w:t xml:space="preserve">, </w:t>
            </w:r>
            <w:r>
              <w:rPr>
                <w:rFonts w:ascii="Consolas" w:hAnsi="Consolas"/>
                <w:b w:val="0"/>
                <w:i w:val="0"/>
                <w:sz w:val="17"/>
              </w:rPr>
              <w:t>scenario:sets</w:t>
            </w:r>
            <w:r>
              <w:rPr>
                <w:b w:val="0"/>
                <w:i w:val="0"/>
                <w:sz w:val="17"/>
              </w:rPr>
              <w:t>, Governance Centre / Scenario Sets, 3 tests</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engine, the five modules, the register, the trace, the pack</w:t>
            </w:r>
          </w:p>
        </w:tc>
        <w:tc>
          <w:tcPr>
            <w:tcW w:type="dxa" w:w="2493"/>
          </w:tcPr>
          <w:p>
            <w:r>
              <w:rPr>
                <w:b w:val="0"/>
                <w:sz w:val="17"/>
              </w:rPr>
            </w:r>
            <w:r>
              <w:rPr>
                <w:b w:val="0"/>
                <w:i w:val="0"/>
                <w:sz w:val="17"/>
              </w:rPr>
              <w:t>Yes: five workbooks (66 sections) in three formats with the Baselines sheet; the register with maker-checker sign-off; the per-contract trace; the auditor's pack with checksums</w:t>
            </w:r>
          </w:p>
        </w:tc>
        <w:tc>
          <w:tcPr>
            <w:tcW w:type="dxa" w:w="2493"/>
          </w:tcPr>
          <w:p>
            <w:r>
              <w:rPr>
                <w:b w:val="0"/>
                <w:sz w:val="17"/>
              </w:rPr>
            </w:r>
            <w:r>
              <w:rPr>
                <w:rFonts w:ascii="Consolas" w:hAnsi="Consolas"/>
                <w:b w:val="0"/>
                <w:i w:val="0"/>
                <w:sz w:val="17"/>
              </w:rPr>
              <w:t>tools/compliance/</w:t>
            </w:r>
            <w:r>
              <w:rPr>
                <w:b w:val="0"/>
                <w:i w:val="0"/>
                <w:sz w:val="17"/>
              </w:rPr>
              <w:t xml:space="preserve">, </w:t>
            </w:r>
            <w:r>
              <w:rPr>
                <w:rFonts w:ascii="Consolas" w:hAnsi="Consolas"/>
                <w:b w:val="0"/>
                <w:i w:val="0"/>
                <w:sz w:val="17"/>
              </w:rPr>
              <w:t>docs/compliance/</w:t>
            </w:r>
            <w:r>
              <w:rPr>
                <w:b w:val="0"/>
                <w:i w:val="0"/>
                <w:sz w:val="17"/>
              </w:rPr>
              <w:t xml:space="preserve">, </w:t>
            </w:r>
            <w:r>
              <w:rPr>
                <w:rFonts w:ascii="Consolas" w:hAnsi="Consolas"/>
                <w:b w:val="0"/>
                <w:i w:val="0"/>
                <w:sz w:val="17"/>
              </w:rPr>
              <w:t>ComplianceAuditService</w:t>
            </w:r>
            <w:r>
              <w:rPr>
                <w:b w:val="0"/>
                <w:i w:val="0"/>
                <w:sz w:val="17"/>
              </w:rPr>
              <w:t xml:space="preserve">, </w:t>
            </w:r>
            <w:r>
              <w:rPr>
                <w:rFonts w:ascii="Consolas" w:hAnsi="Consolas"/>
                <w:b w:val="0"/>
                <w:i w:val="0"/>
                <w:sz w:val="17"/>
              </w:rPr>
              <w:t>AuditTraceController</w:t>
            </w:r>
            <w:r>
              <w:rPr>
                <w:b w:val="0"/>
                <w:i w:val="0"/>
                <w:sz w:val="17"/>
              </w:rPr>
              <w:t xml:space="preserve">, </w:t>
            </w:r>
            <w:r>
              <w:rPr>
                <w:rFonts w:ascii="Consolas" w:hAnsi="Consolas"/>
                <w:b w:val="0"/>
                <w:i w:val="0"/>
                <w:sz w:val="17"/>
              </w:rPr>
              <w:t>compliance:audits --pack</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 with the governed PD methods</w:t>
            </w:r>
          </w:p>
        </w:tc>
        <w:tc>
          <w:tcPr>
            <w:tcW w:type="dxa" w:w="2493"/>
          </w:tcPr>
          <w:p>
            <w:r>
              <w:rPr>
                <w:b w:val="0"/>
                <w:sz w:val="17"/>
              </w:rPr>
            </w:r>
            <w:r>
              <w:rPr>
                <w:b w:val="0"/>
                <w:i w:val="0"/>
                <w:sz w:val="17"/>
              </w:rPr>
              <w:t>Mechanics built and run on the November 2025 book; the figure awaits Dr Thom's confirmation of D30 and the monthly books</w:t>
            </w:r>
          </w:p>
        </w:tc>
        <w:tc>
          <w:tcPr>
            <w:tcW w:type="dxa" w:w="2493"/>
          </w:tcPr>
          <w:p>
            <w:r>
              <w:rPr>
                <w:b w:val="0"/>
                <w:sz w:val="17"/>
              </w:rPr>
            </w:r>
            <w:r>
              <w:rPr>
                <w:rFonts w:ascii="Consolas" w:hAnsi="Consolas"/>
                <w:b w:val="0"/>
                <w:i w:val="0"/>
                <w:sz w:val="17"/>
              </w:rPr>
              <w:t>MegaFarmEclService</w:t>
            </w:r>
            <w:r>
              <w:rPr>
                <w:b w:val="0"/>
                <w:i w:val="0"/>
                <w:sz w:val="17"/>
              </w:rPr>
              <w:t xml:space="preserve">, </w:t>
            </w:r>
            <w:r>
              <w:rPr>
                <w:rFonts w:ascii="Consolas" w:hAnsi="Consolas"/>
                <w:b w:val="0"/>
                <w:i w:val="0"/>
                <w:sz w:val="17"/>
              </w:rPr>
              <w:t>megafarm:ecl</w:t>
            </w:r>
          </w:p>
        </w:tc>
      </w:tr>
    </w:tbl>
    <w:p/>
    <w:p>
      <w:pPr>
        <w:pStyle w:val="Heading2"/>
      </w:pPr>
      <w:r>
        <w:t>3. What the system proved when it ran</w:t>
      </w:r>
    </w:p>
    <w:p>
      <w:pPr>
        <w:spacing w:after="120"/>
      </w:pPr>
      <w:r>
        <w:rPr>
          <w:b w:val="0"/>
          <w:i w:val="0"/>
        </w:rPr>
        <w:t>The bootstrap on the wiped database, 8 and 9 October 2026, with the engine chain as completed over the three rounds (about 125 seconds in all):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31 schedules generated and approved under the bootstrap label; 31 EIRs solved; 12 locked; 19 blocked at the fee gate because the rulebook is unapproved</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138 roll-forward rows, 12 contracts, January 2025 to August 2026; 107 months take their cash from the ledger</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1,267 / 454 / 1,028 row-months in Stages 1, 2, 3</w:t>
            </w:r>
          </w:p>
        </w:tc>
      </w:tr>
      <w:tr>
        <w:tc>
          <w:tcPr>
            <w:tcW w:type="dxa" w:w="4986"/>
          </w:tcPr>
          <w:p>
            <w:r>
              <w:rPr>
                <w:b w:val="0"/>
                <w:sz w:val="17"/>
              </w:rPr>
            </w:r>
            <w:r>
              <w:rPr>
                <w:b w:val="0"/>
                <w:i w:val="0"/>
                <w:sz w:val="17"/>
              </w:rPr>
              <w:t>ECL</w:t>
            </w:r>
          </w:p>
        </w:tc>
        <w:tc>
          <w:tcPr>
            <w:tcW w:type="dxa" w:w="4986"/>
          </w:tcPr>
          <w:p>
            <w:r>
              <w:rPr>
                <w:b w:val="0"/>
                <w:sz w:val="17"/>
              </w:rPr>
            </w:r>
            <w:r>
              <w:rPr>
                <w:b w:val="0"/>
                <w:i w:val="0"/>
                <w:sz w:val="17"/>
              </w:rPr>
              <w:t>August 2026 computed on the pre-FLI PD</w:t>
            </w:r>
          </w:p>
        </w:tc>
      </w:tr>
      <w:tr>
        <w:tc>
          <w:tcPr>
            <w:tcW w:type="dxa" w:w="4986"/>
          </w:tcPr>
          <w:p>
            <w:r>
              <w:rPr>
                <w:b w:val="0"/>
                <w:sz w:val="17"/>
              </w:rPr>
            </w:r>
            <w:r>
              <w:rPr>
                <w:b w:val="0"/>
                <w:i w:val="0"/>
                <w:sz w:val="17"/>
              </w:rPr>
              <w:t>PD</w:t>
            </w:r>
          </w:p>
        </w:tc>
        <w:tc>
          <w:tcPr>
            <w:tcW w:type="dxa" w:w="4986"/>
          </w:tcPr>
          <w:p>
            <w:r>
              <w:rPr>
                <w:b w:val="0"/>
                <w:sz w:val="17"/>
              </w:rPr>
            </w:r>
            <w:r>
              <w:rPr>
                <w:b w:val="0"/>
                <w:i w:val="0"/>
                <w:sz w:val="17"/>
              </w:rPr>
              <w:t>Transition matrix over August 2025 to August 2026 (108 transitions): PD to Stage 3 of 35.9% from Stage 1 and 35.2% from Stage 2</w:t>
            </w:r>
          </w:p>
        </w:tc>
      </w:tr>
      <w:tr>
        <w:tc>
          <w:tcPr>
            <w:tcW w:type="dxa" w:w="4986"/>
          </w:tcPr>
          <w:p>
            <w:r>
              <w:rPr>
                <w:b w:val="0"/>
                <w:sz w:val="17"/>
              </w:rPr>
            </w:r>
            <w:r>
              <w:rPr>
                <w:b w:val="0"/>
                <w:i w:val="0"/>
                <w:sz w:val="17"/>
              </w:rPr>
              <w:t>LGD</w:t>
            </w:r>
          </w:p>
        </w:tc>
        <w:tc>
          <w:tcPr>
            <w:tcW w:type="dxa" w:w="4986"/>
          </w:tcPr>
          <w:p>
            <w:r>
              <w:rPr>
                <w:b w:val="0"/>
                <w:sz w:val="17"/>
              </w:rPr>
            </w:r>
            <w:r>
              <w:rPr>
                <w:b w:val="0"/>
                <w:i w:val="0"/>
                <w:sz w:val="17"/>
              </w:rPr>
              <w:t>Cohort of 41 Stage 3 loans (4.12bn) followed twelve months: cure 21.2%, recovery 23.5%, LGD 60.25%</w:t>
            </w:r>
          </w:p>
        </w:tc>
      </w:tr>
      <w:tr>
        <w:tc>
          <w:tcPr>
            <w:tcW w:type="dxa" w:w="4986"/>
          </w:tcPr>
          <w:p>
            <w:r>
              <w:rPr>
                <w:b w:val="0"/>
                <w:sz w:val="17"/>
              </w:rPr>
            </w:r>
            <w:r>
              <w:rPr>
                <w:b w:val="0"/>
                <w:i w:val="0"/>
                <w:sz w:val="17"/>
              </w:rPr>
              <w:t>ECL, August 2026</w:t>
            </w:r>
          </w:p>
        </w:tc>
        <w:tc>
          <w:tcPr>
            <w:tcW w:type="dxa" w:w="4986"/>
          </w:tcPr>
          <w:p>
            <w:r>
              <w:rPr>
                <w:b w:val="0"/>
                <w:sz w:val="17"/>
              </w:rPr>
            </w:r>
            <w:r>
              <w:rPr>
                <w:b w:val="0"/>
                <w:i w:val="0"/>
                <w:sz w:val="17"/>
              </w:rPr>
              <w:t>8.33bn on 23.32bn gross: Stage 1 1.58bn, Stage 2 1.82bn, Stage 3 4.93bn</w:t>
            </w:r>
          </w:p>
        </w:tc>
      </w:tr>
      <w:tr>
        <w:tc>
          <w:tcPr>
            <w:tcW w:type="dxa" w:w="4986"/>
          </w:tcPr>
          <w:p>
            <w:r>
              <w:rPr>
                <w:b w:val="0"/>
                <w:sz w:val="17"/>
              </w:rPr>
            </w:r>
            <w:r>
              <w:rPr>
                <w:b w:val="0"/>
                <w:i w:val="0"/>
                <w:sz w:val="17"/>
              </w:rPr>
              <w:t>Scenario set</w:t>
            </w:r>
          </w:p>
        </w:tc>
        <w:tc>
          <w:tcPr>
            <w:tcW w:type="dxa" w:w="4986"/>
          </w:tcPr>
          <w:p>
            <w:r>
              <w:rPr>
                <w:b w:val="0"/>
                <w:sz w:val="17"/>
              </w:rPr>
            </w:r>
            <w:r>
              <w:rPr>
                <w:b w:val="0"/>
                <w:i w:val="0"/>
                <w:sz w:val="17"/>
              </w:rPr>
              <w:t>The first set of 15.8 approved under the bootstrap label; sensitivity on 135 loans: base 9.63bn, upside 9.00bn, downside 11.10bn, severe 12.99bn, weighted 10.24bn</w:t>
            </w:r>
          </w:p>
        </w:tc>
      </w:tr>
      <w:tr>
        <w:tc>
          <w:tcPr>
            <w:tcW w:type="dxa" w:w="4986"/>
          </w:tcPr>
          <w:p>
            <w:r>
              <w:rPr>
                <w:b w:val="0"/>
                <w:sz w:val="17"/>
              </w:rPr>
            </w:r>
            <w:r>
              <w:rPr>
                <w:b w:val="0"/>
                <w:i w:val="0"/>
                <w:sz w:val="17"/>
              </w:rPr>
              <w:t>Forward-looking route</w:t>
            </w:r>
          </w:p>
        </w:tc>
        <w:tc>
          <w:tcPr>
            <w:tcW w:type="dxa" w:w="4986"/>
          </w:tcPr>
          <w:p>
            <w:r>
              <w:rPr>
                <w:b w:val="0"/>
                <w:sz w:val="17"/>
              </w:rPr>
            </w:r>
            <w:r>
              <w:rPr>
                <w:b w:val="0"/>
                <w:i w:val="0"/>
                <w:sz w:val="17"/>
              </w:rPr>
              <w:t>The best applied fit on a book-level proxy (the PLR to the Stage 3 share, lag 9) approved under the label; adjustments of -8.7% upside, +21.8% downside, +34.9% severe; the ECL on the post-FLI PD 8.94bn</w:t>
            </w:r>
          </w:p>
        </w:tc>
      </w:tr>
      <w:tr>
        <w:tc>
          <w:tcPr>
            <w:tcW w:type="dxa" w:w="4986"/>
          </w:tcPr>
          <w:p>
            <w:r>
              <w:rPr>
                <w:b w:val="0"/>
                <w:sz w:val="17"/>
              </w:rPr>
            </w:r>
            <w:r>
              <w:rPr>
                <w:b w:val="0"/>
                <w:i w:val="0"/>
                <w:sz w:val="17"/>
              </w:rPr>
              <w:t>Stress testing</w:t>
            </w:r>
          </w:p>
        </w:tc>
        <w:tc>
          <w:tcPr>
            <w:tcW w:type="dxa" w:w="4986"/>
          </w:tcPr>
          <w:p>
            <w:r>
              <w:rPr>
                <w:b w:val="0"/>
                <w:sz w:val="17"/>
              </w:rPr>
            </w:r>
            <w:r>
              <w:rPr>
                <w:b w:val="0"/>
                <w:i w:val="0"/>
                <w:sz w:val="17"/>
              </w:rPr>
              <w:t>The set's scenarios as saved runs: base 8.94bn, upside 8.31bn (-7.1%), downside 10.22bn (+14.3%), severe 11.86bn (+32.7%)</w:t>
            </w:r>
          </w:p>
        </w:tc>
      </w:tr>
      <w:tr>
        <w:tc>
          <w:tcPr>
            <w:tcW w:type="dxa" w:w="4986"/>
          </w:tcPr>
          <w:p>
            <w:r>
              <w:rPr>
                <w:b w:val="0"/>
                <w:sz w:val="17"/>
              </w:rPr>
            </w:r>
            <w:r>
              <w:rPr>
                <w:b w:val="0"/>
                <w:i w:val="0"/>
                <w:sz w:val="17"/>
              </w:rPr>
              <w:t>Reports and the register</w:t>
            </w:r>
          </w:p>
        </w:tc>
        <w:tc>
          <w:tcPr>
            <w:tcW w:type="dxa" w:w="4986"/>
          </w:tcPr>
          <w:p>
            <w:r>
              <w:rPr>
                <w:b w:val="0"/>
                <w:sz w:val="17"/>
              </w:rPr>
            </w:r>
            <w:r>
              <w:rPr>
                <w:b w:val="0"/>
                <w:i w:val="0"/>
                <w:sz w:val="17"/>
              </w:rPr>
              <w:t>Every one of the thirty reports rendered (in its own process); the five compliance workbooks loaded into the register</w:t>
            </w:r>
          </w:p>
        </w:tc>
      </w:tr>
      <w:tr>
        <w:tc>
          <w:tcPr>
            <w:tcW w:type="dxa" w:w="4986"/>
          </w:tcPr>
          <w:p>
            <w:r>
              <w:rPr>
                <w:b w:val="0"/>
                <w:sz w:val="17"/>
              </w:rPr>
            </w:r>
            <w:r>
              <w:rPr>
                <w:b w:val="0"/>
                <w:i w:val="0"/>
                <w:sz w:val="17"/>
              </w:rPr>
              <w:t>Forward-looking chain</w:t>
            </w:r>
          </w:p>
        </w:tc>
        <w:tc>
          <w:tcPr>
            <w:tcW w:type="dxa" w:w="4986"/>
          </w:tcPr>
          <w:p>
            <w:r>
              <w:rPr>
                <w:b w:val="0"/>
                <w:sz w:val="17"/>
              </w:rPr>
            </w:r>
            <w:r>
              <w:rPr>
                <w:b w:val="0"/>
                <w:i w:val="0"/>
                <w:sz w:val="17"/>
              </w:rPr>
              <w:t>1,045 driver x proxy x lag evaluations; 209 suggestions (55 recommended); 209 fits, 39 applied by the guardrail, 170 declined with reasons</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p>
      <w:pPr>
        <w:spacing w:after="120"/>
      </w:pPr>
      <w:r>
        <w:rPr>
          <w:b w:val="0"/>
          <w:i w:val="0"/>
        </w:rPr>
        <w:t>Everything the specification asked for that can be built without MAIIC's input is built. What remains is either MAIIC's to decide or supply, or needs a third party: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Item</w:t>
            </w:r>
          </w:p>
        </w:tc>
        <w:tc>
          <w:tcPr>
            <w:tcW w:type="dxa" w:w="3324"/>
            <w:shd w:val="clear" w:color="auto" w:fill="1B2A41"/>
          </w:tcPr>
          <w:p>
            <w:r>
              <w:rPr>
                <w:b/>
                <w:color w:val="FFFFFF"/>
                <w:sz w:val="17"/>
              </w:rPr>
            </w:r>
            <w:r>
              <w:rPr>
                <w:b/>
                <w:i w:val="0"/>
                <w:color w:val="FFFFFF"/>
                <w:sz w:val="17"/>
              </w:rPr>
              <w:t>Spec</w:t>
            </w:r>
          </w:p>
        </w:tc>
        <w:tc>
          <w:tcPr>
            <w:tcW w:type="dxa" w:w="3324"/>
            <w:shd w:val="clear" w:color="auto" w:fill="1B2A41"/>
          </w:tcPr>
          <w:p>
            <w:r>
              <w:rPr>
                <w:b/>
                <w:color w:val="FFFFFF"/>
                <w:sz w:val="17"/>
              </w:rPr>
            </w:r>
            <w:r>
              <w:rPr>
                <w:b/>
                <w:i w:val="0"/>
                <w:color w:val="FFFFFF"/>
                <w:sz w:val="17"/>
              </w:rPr>
              <w:t>What it needs</w:t>
            </w:r>
          </w:p>
        </w:tc>
      </w:tr>
      <w:tr>
        <w:tc>
          <w:tcPr>
            <w:tcW w:type="dxa" w:w="3324"/>
          </w:tcPr>
          <w:p>
            <w:r>
              <w:rPr>
                <w:b w:val="0"/>
                <w:sz w:val="17"/>
              </w:rPr>
            </w:r>
            <w:r>
              <w:rPr>
                <w:b w:val="0"/>
                <w:i w:val="0"/>
                <w:sz w:val="17"/>
              </w:rPr>
              <w:t>Routes 4 and 5 of the feed</w:t>
            </w:r>
          </w:p>
        </w:tc>
        <w:tc>
          <w:tcPr>
            <w:tcW w:type="dxa" w:w="3324"/>
          </w:tcPr>
          <w:p>
            <w:r>
              <w:rPr>
                <w:b w:val="0"/>
                <w:sz w:val="17"/>
              </w:rPr>
            </w:r>
            <w:r>
              <w:rPr>
                <w:b w:val="0"/>
                <w:i w:val="0"/>
                <w:sz w:val="17"/>
              </w:rPr>
              <w:t>6.5</w:t>
            </w:r>
          </w:p>
        </w:tc>
        <w:tc>
          <w:tcPr>
            <w:tcW w:type="dxa" w:w="3324"/>
          </w:tcPr>
          <w:p>
            <w:r>
              <w:rPr>
                <w:b w:val="0"/>
                <w:sz w:val="17"/>
              </w:rPr>
            </w:r>
            <w:r>
              <w:rPr>
                <w:b w:val="0"/>
                <w:i w:val="0"/>
                <w:sz w:val="17"/>
              </w:rPr>
              <w:t>ICT's consent to a read-only Oracle account over the VPN (route 4); a paid change request to the vendor (route 5)</w:t>
            </w:r>
          </w:p>
        </w:tc>
      </w:tr>
      <w:tr>
        <w:tc>
          <w:tcPr>
            <w:tcW w:type="dxa" w:w="3324"/>
          </w:tcPr>
          <w:p>
            <w:r>
              <w:rPr>
                <w:b w:val="0"/>
                <w:sz w:val="17"/>
              </w:rPr>
            </w:r>
            <w:r>
              <w:rPr>
                <w:b w:val="0"/>
                <w:i w:val="0"/>
                <w:sz w:val="17"/>
              </w:rPr>
              <w:t>The golden numbers for the ECL at the year-ends and the revenue shift</w:t>
            </w:r>
          </w:p>
        </w:tc>
        <w:tc>
          <w:tcPr>
            <w:tcW w:type="dxa" w:w="3324"/>
          </w:tcPr>
          <w:p>
            <w:r>
              <w:rPr>
                <w:b w:val="0"/>
                <w:sz w:val="17"/>
              </w:rPr>
            </w:r>
            <w:r>
              <w:rPr>
                <w:b w:val="0"/>
                <w:i w:val="0"/>
                <w:sz w:val="17"/>
              </w:rPr>
              <w:t>6.10.2</w:t>
            </w:r>
          </w:p>
        </w:tc>
        <w:tc>
          <w:tcPr>
            <w:tcW w:type="dxa" w:w="3324"/>
          </w:tcPr>
          <w:p>
            <w:r>
              <w:rPr>
                <w:b w:val="0"/>
                <w:sz w:val="17"/>
              </w:rPr>
            </w:r>
            <w:r>
              <w:rPr>
                <w:b w:val="0"/>
                <w:i w:val="0"/>
                <w:sz w:val="17"/>
              </w:rPr>
              <w:t>The first run Dr Thom approves: the fee rulebook, the matrix and LGD key-locks, the fit and the set</w:t>
            </w:r>
          </w:p>
        </w:tc>
      </w:tr>
      <w:tr>
        <w:tc>
          <w:tcPr>
            <w:tcW w:type="dxa" w:w="3324"/>
          </w:tcPr>
          <w:p>
            <w:r>
              <w:rPr>
                <w:b w:val="0"/>
                <w:sz w:val="17"/>
              </w:rPr>
            </w:r>
            <w:r>
              <w:rPr>
                <w:b w:val="0"/>
                <w:i w:val="0"/>
                <w:sz w:val="17"/>
              </w:rPr>
              <w:t>The Mega Farm figure</w:t>
            </w:r>
          </w:p>
        </w:tc>
        <w:tc>
          <w:tcPr>
            <w:tcW w:type="dxa" w:w="3324"/>
          </w:tcPr>
          <w:p>
            <w:r>
              <w:rPr>
                <w:b w:val="0"/>
                <w:sz w:val="17"/>
              </w:rPr>
            </w:r>
            <w:r>
              <w:rPr>
                <w:b w:val="0"/>
                <w:i w:val="0"/>
                <w:sz w:val="17"/>
              </w:rPr>
              <w:t>16</w:t>
            </w:r>
          </w:p>
        </w:tc>
        <w:tc>
          <w:tcPr>
            <w:tcW w:type="dxa" w:w="3324"/>
          </w:tcPr>
          <w:p>
            <w:r>
              <w:rPr>
                <w:b w:val="0"/>
                <w:sz w:val="17"/>
              </w:rPr>
            </w:r>
            <w:r>
              <w:rPr>
                <w:b w:val="0"/>
                <w:i w:val="0"/>
                <w:sz w:val="17"/>
              </w:rPr>
              <w:t>Dr Thom's confirmation of D30 and the monthly Mega Farm books (MF_01 to MF_08 from Barry); the mechanics run today on the November 2025 book</w:t>
            </w:r>
          </w:p>
        </w:tc>
      </w:tr>
      <w:tr>
        <w:tc>
          <w:tcPr>
            <w:tcW w:type="dxa" w:w="3324"/>
          </w:tcPr>
          <w:p>
            <w:r>
              <w:rPr>
                <w:b w:val="0"/>
                <w:sz w:val="17"/>
              </w:rPr>
            </w:r>
            <w:r>
              <w:rPr>
                <w:b w:val="0"/>
                <w:i w:val="0"/>
                <w:sz w:val="17"/>
              </w:rPr>
              <w:t>The restructure history and the 10 percent test</w:t>
            </w:r>
          </w:p>
        </w:tc>
        <w:tc>
          <w:tcPr>
            <w:tcW w:type="dxa" w:w="3324"/>
          </w:tcPr>
          <w:p>
            <w:r>
              <w:rPr>
                <w:b w:val="0"/>
                <w:sz w:val="17"/>
              </w:rPr>
            </w:r>
            <w:r>
              <w:rPr>
                <w:b w:val="0"/>
                <w:i w:val="0"/>
                <w:sz w:val="17"/>
              </w:rPr>
              <w:t>5.4.3, 3.3.2</w:t>
            </w:r>
          </w:p>
        </w:tc>
        <w:tc>
          <w:tcPr>
            <w:tcW w:type="dxa" w:w="3324"/>
          </w:tcPr>
          <w:p>
            <w:r>
              <w:rPr>
                <w:b w:val="0"/>
                <w:sz w:val="17"/>
              </w:rPr>
            </w:r>
            <w:r>
              <w:rPr>
                <w:b w:val="0"/>
                <w:i w:val="0"/>
                <w:sz w:val="17"/>
              </w:rPr>
              <w:t>E-Banker's Reschedule Report from the vendor</w:t>
            </w:r>
          </w:p>
        </w:tc>
      </w:tr>
      <w:tr>
        <w:tc>
          <w:tcPr>
            <w:tcW w:type="dxa" w:w="3324"/>
          </w:tcPr>
          <w:p>
            <w:r>
              <w:rPr>
                <w:b w:val="0"/>
                <w:sz w:val="17"/>
              </w:rPr>
            </w:r>
            <w:r>
              <w:rPr>
                <w:b w:val="0"/>
                <w:i w:val="0"/>
                <w:sz w:val="17"/>
              </w:rPr>
              <w:t>Contract Schedule 1's clause numbers</w:t>
            </w:r>
          </w:p>
        </w:tc>
        <w:tc>
          <w:tcPr>
            <w:tcW w:type="dxa" w:w="3324"/>
          </w:tcPr>
          <w:p>
            <w:r>
              <w:rPr>
                <w:b w:val="0"/>
                <w:sz w:val="17"/>
              </w:rPr>
            </w:r>
            <w:r>
              <w:rPr>
                <w:b w:val="0"/>
                <w:i w:val="0"/>
                <w:sz w:val="17"/>
              </w:rPr>
              <w:t>12</w:t>
            </w:r>
          </w:p>
        </w:tc>
        <w:tc>
          <w:tcPr>
            <w:tcW w:type="dxa" w:w="3324"/>
          </w:tcPr>
          <w:p>
            <w:r>
              <w:rPr>
                <w:b w:val="0"/>
                <w:sz w:val="17"/>
              </w:rPr>
            </w:r>
            <w:r>
              <w:rPr>
                <w:b w:val="0"/>
                <w:i w:val="0"/>
                <w:sz w:val="17"/>
              </w:rPr>
              <w:t>The signed schedule from Dr Thom</w:t>
            </w:r>
          </w:p>
        </w:tc>
      </w:tr>
      <w:tr>
        <w:tc>
          <w:tcPr>
            <w:tcW w:type="dxa" w:w="3324"/>
          </w:tcPr>
          <w:p>
            <w:r>
              <w:rPr>
                <w:b w:val="0"/>
                <w:sz w:val="17"/>
              </w:rPr>
            </w:r>
            <w:r>
              <w:rPr>
                <w:b w:val="0"/>
                <w:i w:val="0"/>
                <w:sz w:val="17"/>
              </w:rPr>
              <w:t>The dark-mode page sweep</w:t>
            </w:r>
          </w:p>
        </w:tc>
        <w:tc>
          <w:tcPr>
            <w:tcW w:type="dxa" w:w="3324"/>
          </w:tcPr>
          <w:p>
            <w:r>
              <w:rPr>
                <w:b w:val="0"/>
                <w:sz w:val="17"/>
              </w:rPr>
            </w:r>
            <w:r>
              <w:rPr>
                <w:b w:val="0"/>
                <w:i w:val="0"/>
                <w:sz w:val="17"/>
              </w:rPr>
              <w:t>11.9</w:t>
            </w:r>
          </w:p>
        </w:tc>
        <w:tc>
          <w:tcPr>
            <w:tcW w:type="dxa" w:w="3324"/>
          </w:tcPr>
          <w:p>
            <w:r>
              <w:rPr>
                <w:b w:val="0"/>
                <w:sz w:val="17"/>
              </w:rPr>
            </w:r>
            <w:r>
              <w:rPr>
                <w:b w:val="0"/>
                <w:i w:val="0"/>
                <w:sz w:val="17"/>
              </w:rPr>
              <w:t>Ongoing: the shell and the shared classes carry the theme; pages that style elements directly are swept group by group as they are touched</w:t>
            </w:r>
          </w:p>
        </w:tc>
      </w:tr>
      <w:tr>
        <w:tc>
          <w:tcPr>
            <w:tcW w:type="dxa" w:w="3324"/>
          </w:tcPr>
          <w:p>
            <w:r>
              <w:rPr>
                <w:b w:val="0"/>
                <w:sz w:val="17"/>
              </w:rPr>
            </w:r>
            <w:r>
              <w:rPr>
                <w:b w:val="0"/>
                <w:i w:val="0"/>
                <w:sz w:val="17"/>
              </w:rPr>
              <w:t>The Mega Farm screen; the method cards beside the Governance Centre setting</w:t>
            </w:r>
          </w:p>
        </w:tc>
        <w:tc>
          <w:tcPr>
            <w:tcW w:type="dxa" w:w="3324"/>
          </w:tcPr>
          <w:p>
            <w:r>
              <w:rPr>
                <w:b w:val="0"/>
                <w:sz w:val="17"/>
              </w:rPr>
            </w:r>
            <w:r>
              <w:rPr>
                <w:b w:val="0"/>
                <w:i w:val="0"/>
                <w:sz w:val="17"/>
              </w:rPr>
              <w:t>16, 14.7</w:t>
            </w:r>
          </w:p>
        </w:tc>
        <w:tc>
          <w:tcPr>
            <w:tcW w:type="dxa" w:w="3324"/>
          </w:tcPr>
          <w:p>
            <w:r>
              <w:rPr>
                <w:b w:val="0"/>
                <w:sz w:val="17"/>
              </w:rPr>
            </w:r>
            <w:r>
              <w:rPr>
                <w:b w:val="0"/>
                <w:i w:val="0"/>
                <w:sz w:val="17"/>
              </w:rPr>
              <w:t>Small screen work; the cards are on the FLI Adjustments screen and the JSON route</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--env=bootstrap fli:correlate 2026-08 php artisan --env=bootstrap scenario:sets 2026-08 python tools/compliance/build_audit.py --all --env=bootstrap php artisan --env=bootstrap fli:apply 2026-08 --fits php artisan --env=bootstrap compliance:audits --pack=2026-08 php artisan --env=demo megafarm:ecl 2025-11 php artisan test tests/Feature/Eir tests/Feature/Ebanker tests/Feature/FLI/TransmissionMethodCatalogueTest.php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test run above: 308 passed, 24 skipped.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