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pPr>
        <w:pStyle w:val="Heading2"/>
      </w:pPr>
      <w:r>
        <w:t>1. What this specification does</w:t>
      </w:r>
    </w:p>
    <w:p>
      <w:pPr>
        <w:spacing w:after="120"/>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pPr>
      <w:r>
        <w:rPr>
          <w:b w:val="0"/>
          <w:i w:val="0"/>
        </w:rPr>
        <w:t>Two sets of rules are defined:</w:t>
      </w:r>
    </w:p>
    <w:p>
      <w:pPr>
        <w:pStyle w:val="ListBullet"/>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pPr>
      <w:r>
        <w:rPr>
          <w:b/>
          <w:i w:val="0"/>
        </w:rPr>
        <w:t>The missed-instalment default is not applied</w:t>
      </w:r>
      <w:r>
        <w:rPr>
          <w:b w:val="0"/>
          <w:i w:val="0"/>
        </w:rPr>
        <w:t>, although MAIIC's 2025 financial statements (note 22.8.1) describe it as the policy.</w:t>
      </w:r>
    </w:p>
    <w:p>
      <w:pPr>
        <w:pStyle w:val="ListNumber"/>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pPr>
      <w:r>
        <w:rPr>
          <w:b/>
          <w:i w:val="0"/>
        </w:rPr>
        <w:t>A loan leaves its stage on its first good month-end</w:t>
      </w:r>
      <w:r>
        <w:rPr>
          <w:b w:val="0"/>
          <w:i w:val="0"/>
        </w:rPr>
        <w:t>, with no probation.</w:t>
      </w:r>
    </w:p>
    <w:p>
      <w:pPr>
        <w:spacing w:after="120"/>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pPr>
      <w:r>
        <w:rPr>
          <w:b w:val="0"/>
          <w:i w:val="0"/>
        </w:rPr>
        <w:t>When MAIIC decides to adopt it:</w:t>
      </w:r>
    </w:p>
    <w:p>
      <w:pPr>
        <w:pStyle w:val="ListNumber"/>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pPr>
      <w:r>
        <w:rPr>
          <w:b w:val="0"/>
          <w:i w:val="0"/>
        </w:rPr>
        <w:t>A second person approves it.</w:t>
      </w:r>
    </w:p>
    <w:p>
      <w:pPr>
        <w:pStyle w:val="ListNumber"/>
      </w:pPr>
      <w:r>
        <w:rPr>
          <w:b w:val="0"/>
          <w:i w:val="0"/>
        </w:rPr>
        <w:t>From that month the booked staging follows the new rules. Locked months are never restated. Under IAS 8 the change is a change in accounting estimate, applied prospectively.</w:t>
      </w:r>
    </w:p>
    <w:p>
      <w:pPr>
        <w:pStyle w:val="ListNumber"/>
      </w:pPr>
      <w:r>
        <w:rPr>
          <w:b w:val="0"/>
          <w:i w:val="0"/>
        </w:rPr>
        <w:t>The comparison run for the first month under the new policy is kept as the record of its effect.</w:t>
      </w:r>
    </w:p>
    <w:p>
      <w:pPr>
        <w:pStyle w:val="Heading2"/>
      </w:pPr>
      <w:r>
        <w:t>4. The staging comparison run</w:t>
      </w:r>
    </w:p>
    <w:p>
      <w:pPr>
        <w:spacing w:after="120"/>
      </w:pPr>
      <w:r>
        <w:rPr>
          <w:b w:val="0"/>
          <w:i w:val="0"/>
        </w:rPr>
        <w:t xml:space="preserve">The comparison run answers one question: </w:t>
      </w:r>
      <w:r>
        <w:rPr>
          <w:b w:val="0"/>
          <w:i/>
        </w:rPr>
        <w:t>what would this month's stages and ECL be under another set of rules, and why?</w:t>
      </w:r>
    </w:p>
    <w:p>
      <w:pPr>
        <w:spacing w:after="120"/>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pPr>
      <w:r>
        <w:rPr>
          <w:b/>
          <w:i w:val="0"/>
        </w:rPr>
        <w:t>How the figures are worked out</w:t>
      </w:r>
      <w:r>
        <w:rPr>
          <w:b w:val="0"/>
          <w:i w:val="0"/>
        </w:rPr>
        <w:t xml:space="preserve"> (decided by Edward Mazibuko, 15 October 2026):</w:t>
      </w:r>
    </w:p>
    <w:p>
      <w:pPr>
        <w:pStyle w:val="ListBullet"/>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pPr>
      <w:r>
        <w:rPr>
          <w:b w:val="0"/>
          <w:i w:val="0"/>
        </w:rPr>
        <w:t>The RBM return classifies facilities under the directive's own bands: by term, on the count of days from the oldest overdue instalment. It must not change when the staging policy changes. So:</w:t>
      </w:r>
    </w:p>
    <w:p>
      <w:pPr>
        <w:pStyle w:val="ListBullet"/>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pPr>
      <w:r>
        <w:rPr>
          <w:b w:val="0"/>
          <w:i w:val="0"/>
        </w:rPr>
        <w:t>An auditor looking at a month a year later needs to know exactly what that month's figures were computed with: which settings, rules, models, data and code. Today that can only be partly reconstructed:</w:t>
      </w:r>
    </w:p>
    <w:p>
      <w:pPr>
        <w:pStyle w:val="ListBullet"/>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3"/>
      </w:pPr>
      <w:r>
        <w:t>8.10 Decisions carried into a fresh database (the decisions pack)</w:t>
      </w:r>
    </w:p>
    <w:p>
      <w:pPr>
        <w:spacing w:after="120"/>
      </w:pPr>
      <w:r>
        <w:rPr>
          <w:b/>
          <w:i w:val="0"/>
        </w:rPr>
        <w:t>Why.</w:t>
      </w:r>
      <w:r>
        <w:rPr>
          <w:b w:val="0"/>
          <w:i w:val="0"/>
        </w:rPr>
        <w:t xml:space="preserve"> The bootstrap rebuilds a database from files: the E-Banker packs, the take-on workbook, the trial balances and the models. It cannot rebuild what people decided in the system, because those decisions are in no file. By 15 October 2026 MAIIC's database held decisions of that kind: 277 fee lines reviewed under maker-checker, 113 EIRs locked by Edward, Finance's 2025 fee workbook and its integral-column re-import, the fee source precedence set to Finance first (proposal 68), the correction of loans 077 and 110 (6 fee lines moved, loan 110 reopened and both EIRs locked again), and the user accounts. A fresh bootstrap would lose all of them. The decisions pack carries them.</w:t>
      </w:r>
    </w:p>
    <w:p>
      <w:pPr>
        <w:spacing w:after="120"/>
      </w:pPr>
      <w:r>
        <w:rPr>
          <w:b/>
          <w:i w:val="0"/>
        </w:rPr>
        <w:t>What it is.</w:t>
      </w:r>
      <w:r>
        <w:rPr>
          <w:b w:val="0"/>
          <w:i w:val="0"/>
        </w:rPr>
        <w:t xml:space="preserve"> A folder, </w:t>
      </w:r>
      <w:r>
        <w:rPr>
          <w:rFonts w:ascii="Consolas" w:hAnsi="Consolas"/>
          <w:b w:val="0"/>
          <w:i w:val="0"/>
          <w:sz w:val="18"/>
        </w:rPr>
        <w:t>docs/bootstrap/decisions/&lt;date&gt;/</w:t>
      </w:r>
      <w:r>
        <w:rPr>
          <w:b w:val="0"/>
          <w:i w:val="0"/>
        </w:rPr>
        <w:t>, committed beside the E-Banker packs. It holds one file per kind of decision, any source file a decision was made on (Finance's fee workbook), and a manifest with each file's SHA-256 and a tie-out of what the source database held. It is written by an export from one database and replayed into a fresh one by the bootstrap.</w:t>
      </w:r>
    </w:p>
    <w:p>
      <w:pPr>
        <w:spacing w:after="120"/>
      </w:pPr>
      <w:r>
        <w:rPr>
          <w:b/>
          <w:i w:val="0"/>
        </w:rPr>
        <w:t>Export.</w:t>
      </w:r>
      <w:r>
        <w:rPr>
          <w:b w:val="0"/>
          <w:i w:val="0"/>
        </w:rPr>
        <w:t xml:space="preserve"> </w:t>
      </w:r>
      <w:r>
        <w:rPr>
          <w:rFonts w:ascii="Consolas" w:hAnsi="Consolas"/>
          <w:b w:val="0"/>
          <w:i w:val="0"/>
          <w:sz w:val="18"/>
        </w:rPr>
        <w:t>decisions:export</w:t>
      </w:r>
      <w:r>
        <w:rPr>
          <w:b w:val="0"/>
          <w:i w:val="0"/>
        </w:rPr>
        <w:t xml:space="preserve"> reads a database and writes the pack. It writes nothing to the database it reads. It is run on MAIIC's server by MAIIC ICT or Edward, never by Dupleix on MAIIC's database. Every row is named by its business key, never by a database id, because a fresh load numbers its rows differently: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Business key</w:t>
            </w:r>
          </w:p>
        </w:tc>
        <w:tc>
          <w:tcPr>
            <w:tcW w:type="dxa" w:w="3324"/>
            <w:shd w:val="clear" w:color="auto" w:fill="1B2A41"/>
          </w:tcPr>
          <w:p>
            <w:r>
              <w:rPr>
                <w:b/>
                <w:color w:val="FFFFFF"/>
                <w:sz w:val="17"/>
              </w:rPr>
            </w:r>
            <w:r>
              <w:rPr>
                <w:b/>
                <w:i w:val="0"/>
                <w:color w:val="FFFFFF"/>
                <w:sz w:val="17"/>
              </w:rPr>
              <w:t>What is carried</w:t>
            </w:r>
          </w:p>
        </w:tc>
      </w:tr>
      <w:tr>
        <w:tc>
          <w:tcPr>
            <w:tcW w:type="dxa" w:w="3324"/>
          </w:tcPr>
          <w:p>
            <w:r>
              <w:rPr>
                <w:b w:val="0"/>
                <w:sz w:val="17"/>
              </w:rPr>
            </w:r>
            <w:r>
              <w:rPr>
                <w:b w:val="0"/>
                <w:i w:val="0"/>
                <w:sz w:val="17"/>
              </w:rPr>
              <w:t>Fee line classified and reviewed</w:t>
            </w:r>
          </w:p>
        </w:tc>
        <w:tc>
          <w:tcPr>
            <w:tcW w:type="dxa" w:w="3324"/>
          </w:tcPr>
          <w:p>
            <w:r>
              <w:rPr>
                <w:b w:val="0"/>
                <w:sz w:val="17"/>
              </w:rPr>
            </w:r>
            <w:r>
              <w:rPr>
                <w:b w:val="0"/>
                <w:i w:val="0"/>
                <w:sz w:val="17"/>
              </w:rPr>
              <w:t>The line's source system and source transaction id; for a Finance workbook line without them, loan, fee type, amount, date and description</w:t>
            </w:r>
          </w:p>
        </w:tc>
        <w:tc>
          <w:tcPr>
            <w:tcW w:type="dxa" w:w="3324"/>
          </w:tcPr>
          <w:p>
            <w:r>
              <w:rPr>
                <w:b w:val="0"/>
                <w:sz w:val="17"/>
              </w:rPr>
            </w:r>
            <w:r>
              <w:rPr>
                <w:b w:val="0"/>
                <w:i w:val="0"/>
                <w:sz w:val="17"/>
              </w:rPr>
              <w:t>Integral or not, the cash-flow direction, the reason, the rule applied, who classified it and when, who reviewed it and when</w:t>
            </w:r>
          </w:p>
        </w:tc>
      </w:tr>
      <w:tr>
        <w:tc>
          <w:tcPr>
            <w:tcW w:type="dxa" w:w="3324"/>
          </w:tcPr>
          <w:p>
            <w:r>
              <w:rPr>
                <w:b w:val="0"/>
                <w:sz w:val="17"/>
              </w:rPr>
            </w:r>
            <w:r>
              <w:rPr>
                <w:b w:val="0"/>
                <w:i w:val="0"/>
                <w:sz w:val="17"/>
              </w:rPr>
              <w:t>Fee line moved to another loan</w:t>
            </w:r>
          </w:p>
        </w:tc>
        <w:tc>
          <w:tcPr>
            <w:tcW w:type="dxa" w:w="3324"/>
          </w:tcPr>
          <w:p>
            <w:r>
              <w:rPr>
                <w:b w:val="0"/>
                <w:sz w:val="17"/>
              </w:rPr>
            </w:r>
            <w:r>
              <w:rPr>
                <w:b w:val="0"/>
                <w:i w:val="0"/>
                <w:sz w:val="17"/>
              </w:rPr>
              <w:t>The line's key and its original loan and date</w:t>
            </w:r>
          </w:p>
        </w:tc>
        <w:tc>
          <w:tcPr>
            <w:tcW w:type="dxa" w:w="3324"/>
          </w:tcPr>
          <w:p>
            <w:r>
              <w:rPr>
                <w:b w:val="0"/>
                <w:sz w:val="17"/>
              </w:rPr>
            </w:r>
            <w:r>
              <w:rPr>
                <w:b w:val="0"/>
                <w:i w:val="0"/>
                <w:sz w:val="17"/>
              </w:rPr>
              <w:t>The new loan, the new date, the reason, who moved it and when</w:t>
            </w:r>
          </w:p>
        </w:tc>
      </w:tr>
      <w:tr>
        <w:tc>
          <w:tcPr>
            <w:tcW w:type="dxa" w:w="3324"/>
          </w:tcPr>
          <w:p>
            <w:r>
              <w:rPr>
                <w:b w:val="0"/>
                <w:sz w:val="17"/>
              </w:rPr>
            </w:r>
            <w:r>
              <w:rPr>
                <w:b w:val="0"/>
                <w:i w:val="0"/>
                <w:sz w:val="17"/>
              </w:rPr>
              <w:t>Overlapping fee lines kept separate or treated as one</w:t>
            </w:r>
          </w:p>
        </w:tc>
        <w:tc>
          <w:tcPr>
            <w:tcW w:type="dxa" w:w="3324"/>
          </w:tcPr>
          <w:p>
            <w:r>
              <w:rPr>
                <w:b w:val="0"/>
                <w:sz w:val="17"/>
              </w:rPr>
            </w:r>
            <w:r>
              <w:rPr>
                <w:b w:val="0"/>
                <w:i w:val="0"/>
                <w:sz w:val="17"/>
              </w:rPr>
              <w:t>Both lines' keys</w:t>
            </w:r>
          </w:p>
        </w:tc>
        <w:tc>
          <w:tcPr>
            <w:tcW w:type="dxa" w:w="3324"/>
          </w:tcPr>
          <w:p>
            <w:r>
              <w:rPr>
                <w:b w:val="0"/>
                <w:sz w:val="17"/>
              </w:rPr>
            </w:r>
            <w:r>
              <w:rPr>
                <w:b w:val="0"/>
                <w:i w:val="0"/>
                <w:sz w:val="17"/>
              </w:rPr>
              <w:t>The decision, the reason, who decided</w:t>
            </w:r>
          </w:p>
        </w:tc>
      </w:tr>
      <w:tr>
        <w:tc>
          <w:tcPr>
            <w:tcW w:type="dxa" w:w="3324"/>
          </w:tcPr>
          <w:p>
            <w:r>
              <w:rPr>
                <w:b w:val="0"/>
                <w:sz w:val="17"/>
              </w:rPr>
            </w:r>
            <w:r>
              <w:rPr>
                <w:b w:val="0"/>
                <w:i w:val="0"/>
                <w:sz w:val="17"/>
              </w:rPr>
              <w:t>Held GL fee tied to a loan, or dismissed</w:t>
            </w:r>
          </w:p>
        </w:tc>
        <w:tc>
          <w:tcPr>
            <w:tcW w:type="dxa" w:w="3324"/>
          </w:tcPr>
          <w:p>
            <w:r>
              <w:rPr>
                <w:b w:val="0"/>
                <w:sz w:val="17"/>
              </w:rPr>
            </w:r>
            <w:r>
              <w:rPr>
                <w:b w:val="0"/>
                <w:i w:val="0"/>
                <w:sz w:val="17"/>
              </w:rPr>
              <w:t>The GL posting's voucher and the loan</w:t>
            </w:r>
          </w:p>
        </w:tc>
        <w:tc>
          <w:tcPr>
            <w:tcW w:type="dxa" w:w="3324"/>
          </w:tcPr>
          <w:p>
            <w:r>
              <w:rPr>
                <w:b w:val="0"/>
                <w:sz w:val="17"/>
              </w:rPr>
            </w:r>
            <w:r>
              <w:rPr>
                <w:b w:val="0"/>
                <w:i w:val="0"/>
                <w:sz w:val="17"/>
              </w:rPr>
              <w:t>Who tied or dismissed it, the reason</w:t>
            </w:r>
          </w:p>
        </w:tc>
      </w:tr>
      <w:tr>
        <w:tc>
          <w:tcPr>
            <w:tcW w:type="dxa" w:w="3324"/>
          </w:tcPr>
          <w:p>
            <w:r>
              <w:rPr>
                <w:b w:val="0"/>
                <w:sz w:val="17"/>
              </w:rPr>
            </w:r>
            <w:r>
              <w:rPr>
                <w:b w:val="0"/>
                <w:i w:val="0"/>
                <w:sz w:val="17"/>
              </w:rPr>
              <w:t>Finance fee workbook loaded</w:t>
            </w:r>
          </w:p>
        </w:tc>
        <w:tc>
          <w:tcPr>
            <w:tcW w:type="dxa" w:w="3324"/>
          </w:tcPr>
          <w:p>
            <w:r>
              <w:rPr>
                <w:b w:val="0"/>
                <w:sz w:val="17"/>
              </w:rPr>
            </w:r>
            <w:r>
              <w:rPr>
                <w:b w:val="0"/>
                <w:i w:val="0"/>
                <w:sz w:val="17"/>
              </w:rPr>
              <w:t>The workbook file itself and its SHA-256</w:t>
            </w:r>
          </w:p>
        </w:tc>
        <w:tc>
          <w:tcPr>
            <w:tcW w:type="dxa" w:w="3324"/>
          </w:tcPr>
          <w:p>
            <w:r>
              <w:rPr>
                <w:b w:val="0"/>
                <w:sz w:val="17"/>
              </w:rPr>
            </w:r>
            <w:r>
              <w:rPr>
                <w:b w:val="0"/>
                <w:i w:val="0"/>
                <w:sz w:val="17"/>
              </w:rPr>
              <w:t>Who loaded it, when, and the months it covers</w:t>
            </w:r>
          </w:p>
        </w:tc>
      </w:tr>
      <w:tr>
        <w:tc>
          <w:tcPr>
            <w:tcW w:type="dxa" w:w="3324"/>
          </w:tcPr>
          <w:p>
            <w:r>
              <w:rPr>
                <w:b w:val="0"/>
                <w:sz w:val="17"/>
              </w:rPr>
            </w:r>
            <w:r>
              <w:rPr>
                <w:b w:val="0"/>
                <w:i w:val="0"/>
                <w:sz w:val="17"/>
              </w:rPr>
              <w:t>Governance setting approved by people</w:t>
            </w:r>
          </w:p>
        </w:tc>
        <w:tc>
          <w:tcPr>
            <w:tcW w:type="dxa" w:w="3324"/>
          </w:tcPr>
          <w:p>
            <w:r>
              <w:rPr>
                <w:b w:val="0"/>
                <w:sz w:val="17"/>
              </w:rPr>
            </w:r>
            <w:r>
              <w:rPr>
                <w:b w:val="0"/>
                <w:i w:val="0"/>
                <w:sz w:val="17"/>
              </w:rPr>
              <w:t>Key, value and effective date</w:t>
            </w:r>
          </w:p>
        </w:tc>
        <w:tc>
          <w:tcPr>
            <w:tcW w:type="dxa" w:w="3324"/>
          </w:tcPr>
          <w:p>
            <w:r>
              <w:rPr>
                <w:b w:val="0"/>
                <w:sz w:val="17"/>
              </w:rPr>
            </w:r>
            <w:r>
              <w:rPr>
                <w:b w:val="0"/>
                <w:i w:val="0"/>
                <w:sz w:val="17"/>
              </w:rPr>
              <w:t>Who proposed it, who approved it, when, and the reason</w:t>
            </w:r>
          </w:p>
        </w:tc>
      </w:tr>
      <w:tr>
        <w:tc>
          <w:tcPr>
            <w:tcW w:type="dxa" w:w="3324"/>
          </w:tcPr>
          <w:p>
            <w:r>
              <w:rPr>
                <w:b w:val="0"/>
                <w:sz w:val="17"/>
              </w:rPr>
            </w:r>
            <w:r>
              <w:rPr>
                <w:b w:val="0"/>
                <w:i w:val="0"/>
                <w:sz w:val="17"/>
              </w:rPr>
              <w:t>Fee rule approved by people</w:t>
            </w:r>
          </w:p>
        </w:tc>
        <w:tc>
          <w:tcPr>
            <w:tcW w:type="dxa" w:w="3324"/>
          </w:tcPr>
          <w:p>
            <w:r>
              <w:rPr>
                <w:b w:val="0"/>
                <w:sz w:val="17"/>
              </w:rPr>
            </w:r>
            <w:r>
              <w:rPr>
                <w:b w:val="0"/>
                <w:i w:val="0"/>
                <w:sz w:val="17"/>
              </w:rPr>
              <w:t>The rule's name and wording</w:t>
            </w:r>
          </w:p>
        </w:tc>
        <w:tc>
          <w:tcPr>
            <w:tcW w:type="dxa" w:w="3324"/>
          </w:tcPr>
          <w:p>
            <w:r>
              <w:rPr>
                <w:b w:val="0"/>
                <w:sz w:val="17"/>
              </w:rPr>
            </w:r>
            <w:r>
              <w:rPr>
                <w:b w:val="0"/>
                <w:i w:val="0"/>
                <w:sz w:val="17"/>
              </w:rPr>
              <w:t>Who wrote it, who approved it, the reason</w:t>
            </w:r>
          </w:p>
        </w:tc>
      </w:tr>
      <w:tr>
        <w:tc>
          <w:tcPr>
            <w:tcW w:type="dxa" w:w="3324"/>
          </w:tcPr>
          <w:p>
            <w:r>
              <w:rPr>
                <w:b w:val="0"/>
                <w:sz w:val="17"/>
              </w:rPr>
            </w:r>
            <w:r>
              <w:rPr>
                <w:b w:val="0"/>
                <w:i w:val="0"/>
                <w:sz w:val="17"/>
              </w:rPr>
              <w:t>EIR locked by a person</w:t>
            </w:r>
          </w:p>
        </w:tc>
        <w:tc>
          <w:tcPr>
            <w:tcW w:type="dxa" w:w="3324"/>
          </w:tcPr>
          <w:p>
            <w:r>
              <w:rPr>
                <w:b w:val="0"/>
                <w:sz w:val="17"/>
              </w:rPr>
            </w:r>
            <w:r>
              <w:rPr>
                <w:b w:val="0"/>
                <w:i w:val="0"/>
                <w:sz w:val="17"/>
              </w:rPr>
              <w:t>The loan</w:t>
            </w:r>
          </w:p>
        </w:tc>
        <w:tc>
          <w:tcPr>
            <w:tcW w:type="dxa" w:w="3324"/>
          </w:tcPr>
          <w:p>
            <w:r>
              <w:rPr>
                <w:b w:val="0"/>
                <w:sz w:val="17"/>
              </w:rPr>
            </w:r>
            <w:r>
              <w:rPr>
                <w:b w:val="0"/>
                <w:i w:val="0"/>
                <w:sz w:val="17"/>
              </w:rPr>
              <w:t>Who calculated it, who locked it, when, the locked rate and a fingerprint of the cash flows it was solved on</w:t>
            </w:r>
          </w:p>
        </w:tc>
      </w:tr>
      <w:tr>
        <w:tc>
          <w:tcPr>
            <w:tcW w:type="dxa" w:w="3324"/>
          </w:tcPr>
          <w:p>
            <w:r>
              <w:rPr>
                <w:b w:val="0"/>
                <w:sz w:val="17"/>
              </w:rPr>
            </w:r>
            <w:r>
              <w:rPr>
                <w:b w:val="0"/>
                <w:i w:val="0"/>
                <w:sz w:val="17"/>
              </w:rPr>
              <w:t>EIR reopen request</w:t>
            </w:r>
          </w:p>
        </w:tc>
        <w:tc>
          <w:tcPr>
            <w:tcW w:type="dxa" w:w="3324"/>
          </w:tcPr>
          <w:p>
            <w:r>
              <w:rPr>
                <w:b w:val="0"/>
                <w:sz w:val="17"/>
              </w:rPr>
            </w:r>
            <w:r>
              <w:rPr>
                <w:b w:val="0"/>
                <w:i w:val="0"/>
                <w:sz w:val="17"/>
              </w:rPr>
              <w:t>The loan and the request date</w:t>
            </w:r>
          </w:p>
        </w:tc>
        <w:tc>
          <w:tcPr>
            <w:tcW w:type="dxa" w:w="3324"/>
          </w:tcPr>
          <w:p>
            <w:r>
              <w:rPr>
                <w:b w:val="0"/>
                <w:sz w:val="17"/>
              </w:rPr>
            </w:r>
            <w:r>
              <w:rPr>
                <w:b w:val="0"/>
                <w:i w:val="0"/>
                <w:sz w:val="17"/>
              </w:rPr>
              <w:t>The request and its decision, carried as history</w:t>
            </w:r>
          </w:p>
        </w:tc>
      </w:tr>
      <w:tr>
        <w:tc>
          <w:tcPr>
            <w:tcW w:type="dxa" w:w="3324"/>
          </w:tcPr>
          <w:p>
            <w:r>
              <w:rPr>
                <w:b w:val="0"/>
                <w:sz w:val="17"/>
              </w:rPr>
            </w:r>
            <w:r>
              <w:rPr>
                <w:b w:val="0"/>
                <w:i w:val="0"/>
                <w:sz w:val="17"/>
              </w:rPr>
              <w:t>User</w:t>
            </w:r>
          </w:p>
        </w:tc>
        <w:tc>
          <w:tcPr>
            <w:tcW w:type="dxa" w:w="3324"/>
          </w:tcPr>
          <w:p>
            <w:r>
              <w:rPr>
                <w:b w:val="0"/>
                <w:sz w:val="17"/>
              </w:rPr>
            </w:r>
            <w:r>
              <w:rPr>
                <w:b w:val="0"/>
                <w:i w:val="0"/>
                <w:sz w:val="17"/>
              </w:rPr>
              <w:t>E-mail</w:t>
            </w:r>
          </w:p>
        </w:tc>
        <w:tc>
          <w:tcPr>
            <w:tcW w:type="dxa" w:w="3324"/>
          </w:tcPr>
          <w:p>
            <w:r>
              <w:rPr>
                <w:b w:val="0"/>
                <w:sz w:val="17"/>
              </w:rPr>
            </w:r>
            <w:r>
              <w:rPr>
                <w:b w:val="0"/>
                <w:i w:val="0"/>
                <w:sz w:val="17"/>
              </w:rPr>
              <w:t>Name, roles and direct permissions; never the password or the two-factor secret</w:t>
            </w:r>
          </w:p>
        </w:tc>
      </w:tr>
    </w:tbl>
    <w:p/>
    <w:p>
      <w:pPr>
        <w:spacing w:after="120"/>
      </w:pPr>
      <w:r>
        <w:rPr>
          <w:b w:val="0"/>
          <w:i w:val="0"/>
        </w:rPr>
        <w:t>Every person is carried by e-mail and matched to the user of the same e-mail in the fresh database.</w:t>
      </w:r>
    </w:p>
    <w:p>
      <w:pPr>
        <w:spacing w:after="120"/>
      </w:pPr>
      <w:r>
        <w:rPr>
          <w:b/>
          <w:i w:val="0"/>
        </w:rPr>
        <w:t>Replay.</w:t>
      </w:r>
      <w:r>
        <w:rPr>
          <w:b w:val="0"/>
          <w:i w:val="0"/>
        </w:rPr>
        <w:t xml:space="preserve"> </w:t>
      </w:r>
      <w:r>
        <w:rPr>
          <w:rFonts w:ascii="Consolas" w:hAnsi="Consolas"/>
          <w:b w:val="0"/>
          <w:i w:val="0"/>
          <w:sz w:val="18"/>
        </w:rPr>
        <w:t>eir:bootstrap --with-decisions=&lt;date&gt;</w:t>
      </w:r>
      <w:r>
        <w:rPr>
          <w:b w:val="0"/>
          <w:i w:val="0"/>
        </w:rPr>
        <w:t xml:space="preserve"> replays the pack in two places:</w:t>
      </w:r>
    </w:p>
    <w:p>
      <w:pPr>
        <w:pStyle w:val="ListNumber"/>
      </w:pPr>
      <w:r>
        <w:rPr>
          <w:b/>
          <w:i w:val="0"/>
        </w:rPr>
        <w:t>After the fee build, before the schedules are approved:</w:t>
      </w:r>
      <w:r>
        <w:rPr>
          <w:b w:val="0"/>
          <w:i w:val="0"/>
        </w:rPr>
        <w:t xml:space="preserve"> the users; the governance settings; the fee rules; Finance's workbook, loaded through the normal import with its tie-out; the overlap decisions, held-fee ties and dismissals; the fee moves; then the classifications and reviews. The fee source precedence is then applied once to the result.</w:t>
      </w:r>
    </w:p>
    <w:p>
      <w:pPr>
        <w:pStyle w:val="ListNumber"/>
      </w:pPr>
      <w:r>
        <w:rPr>
          <w:b/>
          <w:i w:val="0"/>
        </w:rPr>
        <w:t>In place of the bootstrap's own lock, for the loans the pack names:</w:t>
      </w:r>
      <w:r>
        <w:rPr>
          <w:b w:val="0"/>
          <w:i w:val="0"/>
        </w:rPr>
        <w:t xml:space="preserve"> the EIR is calculated and locked under the person who locked it in the source database, but only if the rate and the cash-flow fingerprint come out the same. Every other loan is locked under the System Bootstrap label as today.</w:t>
      </w:r>
    </w:p>
    <w:p>
      <w:pPr>
        <w:spacing w:after="120"/>
      </w:pPr>
      <w:r>
        <w:rPr>
          <w:b w:val="0"/>
          <w:i w:val="0"/>
        </w:rPr>
        <w:t>A reopen request is not executed again. In the source database it reopened an EIR so that fee lines could be moved. In the replay the lines are moved before any EIR is locked, so the request is carried as history on the loan.</w:t>
      </w:r>
    </w:p>
    <w:p>
      <w:pPr>
        <w:spacing w:after="120"/>
      </w:pPr>
      <w:r>
        <w:rPr>
          <w:b/>
          <w:i w:val="0"/>
        </w:rPr>
        <w:t>Labelled as carried, never as new.</w:t>
      </w:r>
      <w:r>
        <w:rPr>
          <w:b w:val="0"/>
          <w:i w:val="0"/>
        </w:rPr>
        <w:t xml:space="preserve"> Each replayed decision keeps its original person and date on the record. Each writes one audit entry, </w:t>
      </w:r>
      <w:r>
        <w:rPr>
          <w:b w:val="0"/>
          <w:i/>
        </w:rPr>
        <w:t>"Carried from &lt;database&gt; by the decisions pack of &lt;date&gt;"</w:t>
      </w:r>
      <w:r>
        <w:rPr>
          <w:b w:val="0"/>
          <w:i w:val="0"/>
        </w:rPr>
        <w:t>, naming the original person and date. It never carries the System Bootstrap label, because it was a person's decision and not an automated one. A decision the source database recorded as a UAT self-approval is carried with that label, and section 8.9 item 7 still applies to it.</w:t>
      </w:r>
    </w:p>
    <w:p>
      <w:pPr>
        <w:spacing w:after="120"/>
      </w:pPr>
      <w:r>
        <w:rPr>
          <w:b/>
          <w:i w:val="0"/>
        </w:rPr>
        <w:t>What does not match is listed, never forced.</w:t>
      </w:r>
      <w:r>
        <w:rPr>
          <w:b w:val="0"/>
          <w:i w:val="0"/>
        </w:rPr>
        <w:t xml:space="preserve"> A decision whose row is not found in the fresh database, or whose row differs, is not applied and goes on the replay report with the reason. For example: a fee line the new code builds differently, a workbook whose tie-out fails, or an EIR whose rate or cash flows differ. The line stays pending, or the EIR stays calculated and unlocked, for a person to decide again. The report is written to the bootstrap output and to </w:t>
      </w:r>
      <w:r>
        <w:rPr>
          <w:rFonts w:ascii="Consolas" w:hAnsi="Consolas"/>
          <w:b w:val="0"/>
          <w:i w:val="0"/>
          <w:sz w:val="18"/>
        </w:rPr>
        <w:t>storage/app/decisions/replay-&lt;date&gt;.csv</w:t>
      </w:r>
      <w:r>
        <w:rPr>
          <w:b w:val="0"/>
          <w:i w:val="0"/>
        </w:rPr>
        <w:t>.</w:t>
      </w:r>
    </w:p>
    <w:p>
      <w:pPr>
        <w:spacing w:after="120"/>
      </w:pPr>
      <w:r>
        <w:rPr>
          <w:b/>
          <w:i w:val="0"/>
        </w:rPr>
        <w:t>Not carried, because the engines recompute them:</w:t>
      </w:r>
      <w:r>
        <w:rPr>
          <w:b w:val="0"/>
          <w:i w:val="0"/>
        </w:rPr>
        <w:t xml:space="preserve"> the stages, the Stage 3 history, the ECL, the revenue, the amortisation and every other figure derived from the data and the decisions.</w:t>
      </w:r>
    </w:p>
    <w:p>
      <w:pPr>
        <w:spacing w:after="120"/>
      </w:pPr>
      <w:r>
        <w:rPr>
          <w:b/>
          <w:i w:val="0"/>
        </w:rPr>
        <w:t>The checks.</w:t>
      </w:r>
      <w:r>
        <w:rPr>
          <w:b w:val="0"/>
          <w:i w:val="0"/>
        </w:rPr>
        <w:t xml:space="preserve"> The bootstrap without </w:t>
      </w:r>
      <w:r>
        <w:rPr>
          <w:rFonts w:ascii="Consolas" w:hAnsi="Consolas"/>
          <w:b w:val="0"/>
          <w:i w:val="0"/>
          <w:sz w:val="18"/>
        </w:rPr>
        <w:t>--with-decisions</w:t>
      </w:r>
      <w:r>
        <w:rPr>
          <w:b w:val="0"/>
          <w:i w:val="0"/>
        </w:rPr>
        <w:t xml:space="preserve"> is unchanged, and its verify checks and golden values stay as they are. A bootstrap with a pack ends with a tie-out against the pack's manifest: reviewed fee lines, locked EIRs, each locked rate, the governance settings and the users. Each must equal the source database, or be named on the replay report. The verify checks of a bootstrap with a pack are recorded beside the golden values as a second set, since people's decisions move the EIR and the figures that follow it.</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r>
        <w:tc>
          <w:tcPr>
            <w:tcW w:type="dxa" w:w="2493"/>
          </w:tcPr>
          <w:p>
            <w:r>
              <w:rPr>
                <w:b w:val="0"/>
                <w:sz w:val="17"/>
              </w:rPr>
            </w:r>
            <w:r>
              <w:rPr>
                <w:b w:val="0"/>
                <w:i w:val="0"/>
                <w:sz w:val="17"/>
              </w:rPr>
              <w:t>S12</w:t>
            </w:r>
          </w:p>
        </w:tc>
        <w:tc>
          <w:tcPr>
            <w:tcW w:type="dxa" w:w="2493"/>
          </w:tcPr>
          <w:p>
            <w:r>
              <w:rPr>
                <w:b w:val="0"/>
                <w:sz w:val="17"/>
              </w:rPr>
            </w:r>
            <w:r>
              <w:rPr>
                <w:b w:val="0"/>
                <w:i w:val="0"/>
                <w:sz w:val="17"/>
              </w:rPr>
              <w:t>Where the decisions pack is kept</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In the project repository beside the E-Banker packs, which already hold MAIIC's data; never with passwords or two-factor secrets</w:t>
            </w:r>
          </w:p>
        </w:tc>
      </w:tr>
      <w:tr>
        <w:tc>
          <w:tcPr>
            <w:tcW w:type="dxa" w:w="2493"/>
          </w:tcPr>
          <w:p>
            <w:r>
              <w:rPr>
                <w:b w:val="0"/>
                <w:sz w:val="17"/>
              </w:rPr>
            </w:r>
            <w:r>
              <w:rPr>
                <w:b w:val="0"/>
                <w:i w:val="0"/>
                <w:sz w:val="17"/>
              </w:rPr>
              <w:t>S13</w:t>
            </w:r>
          </w:p>
        </w:tc>
        <w:tc>
          <w:tcPr>
            <w:tcW w:type="dxa" w:w="2493"/>
          </w:tcPr>
          <w:p>
            <w:r>
              <w:rPr>
                <w:b w:val="0"/>
                <w:sz w:val="17"/>
              </w:rPr>
            </w:r>
            <w:r>
              <w:rPr>
                <w:b w:val="0"/>
                <w:i w:val="0"/>
                <w:sz w:val="17"/>
              </w:rPr>
              <w:t>How carried users sign in for the first time</w:t>
            </w:r>
          </w:p>
        </w:tc>
        <w:tc>
          <w:tcPr>
            <w:tcW w:type="dxa" w:w="2493"/>
          </w:tcPr>
          <w:p>
            <w:r>
              <w:rPr>
                <w:b w:val="0"/>
                <w:sz w:val="17"/>
              </w:rPr>
            </w:r>
            <w:r>
              <w:rPr>
                <w:b w:val="0"/>
                <w:i w:val="0"/>
                <w:sz w:val="17"/>
              </w:rPr>
              <w:t>MAIIC ICT</w:t>
            </w:r>
          </w:p>
        </w:tc>
        <w:tc>
          <w:tcPr>
            <w:tcW w:type="dxa" w:w="2493"/>
          </w:tcPr>
          <w:p>
            <w:r>
              <w:rPr>
                <w:b w:val="0"/>
                <w:sz w:val="17"/>
              </w:rPr>
            </w:r>
            <w:r>
              <w:rPr>
                <w:b w:val="0"/>
                <w:i w:val="0"/>
                <w:sz w:val="17"/>
              </w:rPr>
              <w:t>Each sets a new password through the reset link; no password is carried</w:t>
            </w:r>
          </w:p>
        </w:tc>
      </w:tr>
      <w:tr>
        <w:tc>
          <w:tcPr>
            <w:tcW w:type="dxa" w:w="2493"/>
          </w:tcPr>
          <w:p>
            <w:r>
              <w:rPr>
                <w:b w:val="0"/>
                <w:sz w:val="17"/>
              </w:rPr>
            </w:r>
            <w:r>
              <w:rPr>
                <w:b w:val="0"/>
                <w:i w:val="0"/>
                <w:sz w:val="17"/>
              </w:rPr>
              <w:t>S14</w:t>
            </w:r>
          </w:p>
        </w:tc>
        <w:tc>
          <w:tcPr>
            <w:tcW w:type="dxa" w:w="2493"/>
          </w:tcPr>
          <w:p>
            <w:r>
              <w:rPr>
                <w:b w:val="0"/>
                <w:sz w:val="17"/>
              </w:rPr>
            </w:r>
            <w:r>
              <w:rPr>
                <w:b w:val="0"/>
                <w:i w:val="0"/>
                <w:sz w:val="17"/>
              </w:rPr>
              <w:t>Who runs the export on MAIIC's server, and when</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MAIIC ICT, read-only, before any fresh bootstrap that is to replace a database people have worked in</w:t>
            </w:r>
          </w:p>
        </w:tc>
      </w:tr>
    </w:tbl>
    <w:p/>
    <w:p>
      <w:pPr>
        <w:pStyle w:val="Heading2"/>
      </w:pPr>
      <w:r>
        <w:t>10. Acceptance</w:t>
      </w:r>
    </w:p>
    <w:p>
      <w:pPr>
        <w:pStyle w:val="ListNumber"/>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pPr>
      <w:r>
        <w:rPr>
          <w:b/>
          <w:i w:val="0"/>
        </w:rPr>
        <w:t>Adoption.</w:t>
      </w:r>
      <w:r>
        <w:rPr>
          <w:b w:val="0"/>
          <w:i w:val="0"/>
        </w:rPr>
        <w:t xml:space="preserve"> Approving directive-aligned staging from a month stages that month and later ones on the new rules; locked months are unchanged.</w:t>
      </w:r>
    </w:p>
    <w:p>
      <w:pPr>
        <w:pStyle w:val="ListNumber"/>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pPr>
      <w:r>
        <w:rPr>
          <w:b/>
          <w:i w:val="0"/>
        </w:rPr>
        <w:t>RBM return unchanged.</w:t>
      </w:r>
      <w:r>
        <w:rPr>
          <w:b w:val="0"/>
          <w:i w:val="0"/>
        </w:rPr>
        <w:t xml:space="preserve"> The RBM return for a month is identical whichever staging policy is in force.</w:t>
      </w:r>
    </w:p>
    <w:p>
      <w:pPr>
        <w:pStyle w:val="ListNumber"/>
      </w:pPr>
      <w:r>
        <w:rPr>
          <w:b/>
          <w:i w:val="0"/>
        </w:rPr>
        <w:t>No silent default.</w:t>
      </w:r>
      <w:r>
        <w:rPr>
          <w:b w:val="0"/>
          <w:i w:val="0"/>
        </w:rPr>
        <w:t xml:space="preserve"> Removing a staging setting for a month stops staging with a named error, as today.</w:t>
      </w:r>
    </w:p>
    <w:p>
      <w:pPr>
        <w:pStyle w:val="ListNumber"/>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pPr>
      <w:r>
        <w:rPr>
          <w:b/>
          <w:i w:val="0"/>
        </w:rPr>
        <w:t>Approvals register.</w:t>
      </w:r>
      <w:r>
        <w:rPr>
          <w:b w:val="0"/>
          <w:i w:val="0"/>
        </w:rPr>
        <w:t xml:space="preserve"> The Approvals view lists every pending and decided item across all workflows and reconciles to the audit log.</w:t>
      </w:r>
    </w:p>
    <w:p>
      <w:pPr>
        <w:pStyle w:val="ListNumber"/>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pPr>
      <w:r>
        <w:rPr>
          <w:b/>
          <w:i w:val="0"/>
        </w:rPr>
        <w:t>Run of record.</w:t>
      </w:r>
      <w:r>
        <w:rPr>
          <w:b w:val="0"/>
          <w:i w:val="0"/>
        </w:rPr>
        <w:t xml:space="preserve"> Locking a month names the run whose figures were reported; a later rebuild of an unlocked month supersedes earlier runs and keeps them.</w:t>
      </w:r>
    </w:p>
    <w:p>
      <w:pPr>
        <w:pStyle w:val="ListNumber"/>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pPr>
      <w:r>
        <w:rPr>
          <w:b/>
          <w:i w:val="0"/>
        </w:rPr>
        <w:t>Re-performance.</w:t>
      </w:r>
      <w:r>
        <w:rPr>
          <w:b w:val="0"/>
          <w:i w:val="0"/>
        </w:rPr>
        <w:t xml:space="preserve"> Re-running a locked month from its snapshot reproduces its stored stages, ECL and revenue loan by loan, or names each difference.</w:t>
      </w:r>
    </w:p>
    <w:p>
      <w:pPr>
        <w:pStyle w:val="ListNumber"/>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ListNumber"/>
      </w:pPr>
      <w:r>
        <w:rPr>
          <w:b/>
          <w:i w:val="0"/>
        </w:rPr>
        <w:t>Export writes nothing.</w:t>
      </w:r>
      <w:r>
        <w:rPr>
          <w:b w:val="0"/>
          <w:i w:val="0"/>
        </w:rPr>
        <w:t xml:space="preserve"> </w:t>
      </w:r>
      <w:r>
        <w:rPr>
          <w:rFonts w:ascii="Consolas" w:hAnsi="Consolas"/>
          <w:b w:val="0"/>
          <w:i w:val="0"/>
          <w:sz w:val="18"/>
        </w:rPr>
        <w:t>decisions:export</w:t>
      </w:r>
      <w:r>
        <w:rPr>
          <w:b w:val="0"/>
          <w:i w:val="0"/>
        </w:rPr>
        <w:t xml:space="preserve"> leaves the database it reads unchanged, and its pack holds no database id, no password and no two-factor secret.</w:t>
      </w:r>
    </w:p>
    <w:p>
      <w:pPr>
        <w:pStyle w:val="ListNumber"/>
      </w:pPr>
      <w:r>
        <w:rPr>
          <w:b/>
          <w:i w:val="0"/>
        </w:rPr>
        <w:t>Replay reproduces.</w:t>
      </w:r>
      <w:r>
        <w:rPr>
          <w:b w:val="0"/>
          <w:i w:val="0"/>
        </w:rPr>
        <w:t xml:space="preserve"> A fresh bootstrap with a pack exported from a database ends with the same reviewed fee lines, locked EIRs and locked rates, governance settings and users as that database, or names each difference on the replay report.</w:t>
      </w:r>
    </w:p>
    <w:p>
      <w:pPr>
        <w:pStyle w:val="ListNumber"/>
      </w:pPr>
      <w:r>
        <w:rPr>
          <w:b/>
          <w:i w:val="0"/>
        </w:rPr>
        <w:t>Carried, not new.</w:t>
      </w:r>
      <w:r>
        <w:rPr>
          <w:b w:val="0"/>
          <w:i w:val="0"/>
        </w:rPr>
        <w:t xml:space="preserve"> Every replayed decision keeps its original person and date, carries the decisions-pack audit entry, and never the System Bootstrap label.</w:t>
      </w:r>
    </w:p>
    <w:p>
      <w:pPr>
        <w:pStyle w:val="ListNumber"/>
      </w:pPr>
      <w:r>
        <w:rPr>
          <w:b/>
          <w:i w:val="0"/>
        </w:rPr>
        <w:t>Nothing forced.</w:t>
      </w:r>
      <w:r>
        <w:rPr>
          <w:b w:val="0"/>
          <w:i w:val="0"/>
        </w:rPr>
        <w:t xml:space="preserve"> A decision whose row is missing or different in the fresh database is left undecided and listed with its reason.</w:t>
      </w:r>
    </w:p>
    <w:p>
      <w:pPr>
        <w:pStyle w:val="ListNumber"/>
      </w:pPr>
      <w:r>
        <w:rPr>
          <w:b/>
          <w:i w:val="0"/>
        </w:rPr>
        <w:t>No pack, no change.</w:t>
      </w:r>
      <w:r>
        <w:rPr>
          <w:b w:val="0"/>
          <w:i w:val="0"/>
        </w:rPr>
        <w:t xml:space="preserve"> A bootstrap without a pack gives the same verify results as before the pack was built.</w:t>
      </w:r>
    </w:p>
    <w:p>
      <w:pPr>
        <w:pStyle w:val="Heading2"/>
      </w:pPr>
      <w:r>
        <w:t>11. Build order</w:t>
      </w:r>
    </w:p>
    <w:p>
      <w:pPr>
        <w:spacing w:after="120"/>
      </w:pPr>
      <w:r>
        <w:rPr>
          <w:b w:val="0"/>
          <w:i w:val="0"/>
        </w:rPr>
        <w:t>The work is done in five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c>
          <w:tcPr>
            <w:tcW w:type="dxa" w:w="1994"/>
          </w:tcPr>
          <w:p>
            <w:r>
              <w:rPr>
                <w:b w:val="0"/>
                <w:sz w:val="17"/>
              </w:rPr>
            </w:r>
            <w:r>
              <w:rPr>
                <w:b/>
                <w:i w:val="0"/>
                <w:sz w:val="17"/>
              </w:rPr>
              <w:t>3a. Decisions pack</w:t>
            </w:r>
          </w:p>
        </w:tc>
        <w:tc>
          <w:tcPr>
            <w:tcW w:type="dxa" w:w="1994"/>
          </w:tcPr>
          <w:p>
            <w:r>
              <w:rPr>
                <w:b w:val="0"/>
                <w:sz w:val="17"/>
              </w:rPr>
            </w:r>
            <w:r>
              <w:rPr>
                <w:b w:val="0"/>
                <w:i w:val="0"/>
                <w:sz w:val="17"/>
              </w:rPr>
              <w:t>The export and the replay of section 8.10, the replay report and the tie-out; then an export from MAIIC's database by MAIIC ICT and a bootstrap with it on a throw-away database, to show the decisions carried</w:t>
            </w:r>
          </w:p>
        </w:tc>
        <w:tc>
          <w:tcPr>
            <w:tcW w:type="dxa" w:w="1994"/>
          </w:tcPr>
          <w:p>
            <w:r>
              <w:rPr>
                <w:b w:val="0"/>
                <w:sz w:val="17"/>
              </w:rPr>
            </w:r>
            <w:r>
              <w:rPr>
                <w:b w:val="0"/>
                <w:i w:val="0"/>
                <w:sz w:val="17"/>
              </w:rPr>
              <w:t>8.10</w:t>
            </w:r>
          </w:p>
        </w:tc>
        <w:tc>
          <w:tcPr>
            <w:tcW w:type="dxa" w:w="1994"/>
          </w:tcPr>
          <w:p>
            <w:r>
              <w:rPr>
                <w:b w:val="0"/>
                <w:sz w:val="17"/>
              </w:rPr>
            </w:r>
            <w:r>
              <w:rPr>
                <w:b w:val="0"/>
                <w:i w:val="0"/>
                <w:sz w:val="17"/>
              </w:rPr>
              <w:t>24 to 28</w:t>
            </w:r>
          </w:p>
        </w:tc>
        <w:tc>
          <w:tcPr>
            <w:tcW w:type="dxa" w:w="1994"/>
          </w:tcPr>
          <w:p>
            <w:r>
              <w:rPr>
                <w:b w:val="0"/>
                <w:sz w:val="17"/>
              </w:rPr>
            </w:r>
            <w:r>
              <w:rPr>
                <w:b w:val="0"/>
                <w:i w:val="0"/>
                <w:sz w:val="17"/>
              </w:rPr>
              <w:t>About 1 to 1.5 days</w:t>
            </w:r>
          </w:p>
        </w:tc>
      </w:tr>
      <w:t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pPr>
      <w:r>
        <w:rPr>
          <w:b w:val="0"/>
          <w:i w:val="0"/>
        </w:rPr>
        <w:t>The total is about 12 to 13 days of build, with the decisions pack (phase 3a, added on 15 October 2026).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val="0"/>
                <w:i w:val="0"/>
                <w:sz w:val="17"/>
              </w:rPr>
              <w:t>6a</w:t>
            </w:r>
          </w:p>
        </w:tc>
        <w:tc>
          <w:tcPr>
            <w:tcW w:type="dxa" w:w="2493"/>
          </w:tcPr>
          <w:p>
            <w:r>
              <w:rPr>
                <w:b w:val="0"/>
                <w:sz w:val="17"/>
              </w:rPr>
            </w:r>
            <w:r>
              <w:rPr>
                <w:b w:val="0"/>
                <w:i w:val="0"/>
                <w:sz w:val="17"/>
              </w:rPr>
              <w:t>8.10: the decisions pack</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i w:val="0"/>
                <w:sz w:val="17"/>
              </w:rPr>
              <w:t>M3a</w:t>
            </w:r>
          </w:p>
        </w:tc>
        <w:tc>
          <w:tcPr>
            <w:tcW w:type="dxa" w:w="2493"/>
          </w:tcPr>
          <w:p>
            <w:r>
              <w:rPr>
                <w:b w:val="0"/>
                <w:sz w:val="17"/>
              </w:rPr>
            </w:r>
            <w:r>
              <w:rPr>
                <w:b/>
                <w:i w:val="0"/>
                <w:sz w:val="17"/>
              </w:rPr>
              <w:t>Merge and release phase 3a</w:t>
            </w:r>
            <w:r>
              <w:rPr>
                <w:b w:val="0"/>
                <w:i w:val="0"/>
                <w:sz w:val="17"/>
              </w:rPr>
              <w:t>, then MAIIC's export and a bootstrap with it on a throw-away database</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28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