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Governance Centre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This section covers </w:t>
      </w:r>
      <w:r>
        <w:rPr>
          <w:b/>
          <w:i w:val="0"/>
        </w:rPr>
        <w:t>every setting in the Governance Centre</w:t>
      </w:r>
      <w:r>
        <w:rPr>
          <w:b w:val="0"/>
          <w:i w:val="0"/>
        </w:rPr>
        <w:t>, not only the staging ones.</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Heading2"/>
      </w:pPr>
      <w:r>
        <w:t>11. Build order</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Work</w:t>
            </w:r>
          </w:p>
        </w:tc>
        <w:tc>
          <w:tcPr>
            <w:tcW w:type="dxa" w:w="3324"/>
            <w:shd w:val="clear" w:color="auto" w:fill="1B2A41"/>
          </w:tcPr>
          <w:p>
            <w:r>
              <w:rPr>
                <w:b/>
                <w:color w:val="FFFFFF"/>
                <w:sz w:val="17"/>
              </w:rPr>
            </w:r>
            <w:r>
              <w:rPr>
                <w:b/>
                <w:i w:val="0"/>
                <w:color w:val="FFFFFF"/>
                <w:sz w:val="17"/>
              </w:rPr>
              <w:t>Size</w:t>
            </w:r>
          </w:p>
        </w:tc>
      </w:tr>
      <w:tr>
        <w:trPr>
          <w:cantSplit/>
        </w:trPr>
        <w:tc>
          <w:tcPr>
            <w:tcW w:type="dxa" w:w="3324"/>
          </w:tcPr>
          <w:p>
            <w:r>
              <w:rPr>
                <w:b w:val="0"/>
                <w:sz w:val="17"/>
              </w:rPr>
            </w:r>
            <w:r>
              <w:rPr>
                <w:b w:val="0"/>
                <w:i w:val="0"/>
                <w:sz w:val="17"/>
              </w:rPr>
              <w:t>1</w:t>
            </w:r>
          </w:p>
        </w:tc>
        <w:tc>
          <w:tcPr>
            <w:tcW w:type="dxa" w:w="3324"/>
          </w:tcPr>
          <w:p>
            <w:r>
              <w:rPr>
                <w:b w:val="0"/>
                <w:sz w:val="17"/>
              </w:rPr>
            </w:r>
            <w:r>
              <w:rPr>
                <w:b w:val="0"/>
                <w:i w:val="0"/>
                <w:sz w:val="17"/>
              </w:rPr>
              <w:t xml:space="preserve">The settings, the presets and their seeding; </w:t>
            </w:r>
            <w:r>
              <w:rPr>
                <w:rFonts w:ascii="Consolas" w:hAnsi="Consolas"/>
                <w:b w:val="0"/>
                <w:i w:val="0"/>
                <w:sz w:val="17"/>
              </w:rPr>
              <w:t>StagingService</w:t>
            </w:r>
            <w:r>
              <w:rPr>
                <w:b w:val="0"/>
                <w:i w:val="0"/>
                <w:sz w:val="17"/>
              </w:rPr>
              <w:t xml:space="preserve"> reading them;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xml:space="preserve"> in the build</w:t>
            </w:r>
          </w:p>
        </w:tc>
        <w:tc>
          <w:tcPr>
            <w:tcW w:type="dxa" w:w="3324"/>
          </w:tcPr>
          <w:p>
            <w:r>
              <w:rPr>
                <w:b w:val="0"/>
                <w:sz w:val="17"/>
              </w:rPr>
            </w:r>
            <w:r>
              <w:rPr>
                <w:b w:val="0"/>
                <w:i w:val="0"/>
                <w:sz w:val="17"/>
              </w:rPr>
              <w:t>About 1.5 days</w:t>
            </w:r>
          </w:p>
        </w:tc>
      </w:tr>
      <w:tr>
        <w:trPr>
          <w:cantSplit/>
        </w:trPr>
        <w:tc>
          <w:tcPr>
            <w:tcW w:type="dxa" w:w="3324"/>
          </w:tcPr>
          <w:p>
            <w:r>
              <w:rPr>
                <w:b w:val="0"/>
                <w:sz w:val="17"/>
              </w:rPr>
            </w:r>
            <w:r>
              <w:rPr>
                <w:b w:val="0"/>
                <w:i w:val="0"/>
                <w:sz w:val="17"/>
              </w:rPr>
              <w:t>2</w:t>
            </w:r>
          </w:p>
        </w:tc>
        <w:tc>
          <w:tcPr>
            <w:tcW w:type="dxa" w:w="3324"/>
          </w:tcPr>
          <w:p>
            <w:r>
              <w:rPr>
                <w:b w:val="0"/>
                <w:sz w:val="17"/>
              </w:rPr>
            </w:r>
            <w:r>
              <w:rPr>
                <w:b w:val="0"/>
                <w:i w:val="0"/>
                <w:sz w:val="17"/>
              </w:rPr>
              <w:t>The comparison run: tables, command, panel, export, audit-workbook sheet</w:t>
            </w:r>
          </w:p>
        </w:tc>
        <w:tc>
          <w:tcPr>
            <w:tcW w:type="dxa" w:w="3324"/>
          </w:tcPr>
          <w:p>
            <w:r>
              <w:rPr>
                <w:b w:val="0"/>
                <w:sz w:val="17"/>
              </w:rPr>
            </w:r>
            <w:r>
              <w:rPr>
                <w:b w:val="0"/>
                <w:i w:val="0"/>
                <w:sz w:val="17"/>
              </w:rPr>
              <w:t>About 1 day</w:t>
            </w:r>
          </w:p>
        </w:tc>
      </w:tr>
      <w:tr>
        <w:trPr>
          <w:cantSplit/>
        </w:trPr>
        <w:tc>
          <w:tcPr>
            <w:tcW w:type="dxa" w:w="3324"/>
          </w:tcPr>
          <w:p>
            <w:r>
              <w:rPr>
                <w:b w:val="0"/>
                <w:sz w:val="17"/>
              </w:rPr>
            </w:r>
            <w:r>
              <w:rPr>
                <w:b w:val="0"/>
                <w:i w:val="0"/>
                <w:sz w:val="17"/>
              </w:rPr>
              <w:t>3</w:t>
            </w:r>
          </w:p>
        </w:tc>
        <w:tc>
          <w:tcPr>
            <w:tcW w:type="dxa" w:w="3324"/>
          </w:tcPr>
          <w:p>
            <w:r>
              <w:rPr>
                <w:b w:val="0"/>
                <w:sz w:val="17"/>
              </w:rPr>
            </w:r>
            <w:r>
              <w:rPr>
                <w:b w:val="0"/>
                <w:i w:val="0"/>
                <w:sz w:val="17"/>
              </w:rPr>
              <w:t>The governance change log of section 8: reject and withdraw, the seeding entries, supporting documents on private storage with fingerprints, required evidence, the History view and export, the append-only guard and the chain check</w:t>
            </w:r>
          </w:p>
        </w:tc>
        <w:tc>
          <w:tcPr>
            <w:tcW w:type="dxa" w:w="3324"/>
          </w:tcPr>
          <w:p>
            <w:r>
              <w:rPr>
                <w:b w:val="0"/>
                <w:sz w:val="17"/>
              </w:rPr>
            </w:r>
            <w:r>
              <w:rPr>
                <w:b w:val="0"/>
                <w:i w:val="0"/>
                <w:sz w:val="17"/>
              </w:rPr>
              <w:t>About 2 days</w:t>
            </w:r>
          </w:p>
        </w:tc>
      </w:tr>
      <w:tr>
        <w:trPr>
          <w:cantSplit/>
        </w:trPr>
        <w:tc>
          <w:tcPr>
            <w:tcW w:type="dxa" w:w="3324"/>
          </w:tcPr>
          <w:p>
            <w:r>
              <w:rPr>
                <w:b w:val="0"/>
                <w:sz w:val="17"/>
              </w:rPr>
            </w:r>
            <w:r>
              <w:rPr>
                <w:b w:val="0"/>
                <w:i w:val="0"/>
                <w:sz w:val="17"/>
              </w:rPr>
              <w:t>4</w:t>
            </w:r>
          </w:p>
        </w:tc>
        <w:tc>
          <w:tcPr>
            <w:tcW w:type="dxa" w:w="3324"/>
          </w:tcPr>
          <w:p>
            <w:r>
              <w:rPr>
                <w:b w:val="0"/>
                <w:sz w:val="17"/>
              </w:rPr>
            </w:r>
            <w:r>
              <w:rPr>
                <w:b w:val="0"/>
                <w:i w:val="0"/>
                <w:sz w:val="17"/>
              </w:rPr>
              <w:t>Tests for each acceptance point; a bootstrap check</w:t>
            </w:r>
          </w:p>
        </w:tc>
        <w:tc>
          <w:tcPr>
            <w:tcW w:type="dxa" w:w="3324"/>
          </w:tcPr>
          <w:p>
            <w:r>
              <w:rPr>
                <w:b w:val="0"/>
                <w:sz w:val="17"/>
              </w:rPr>
            </w:r>
            <w:r>
              <w:rPr>
                <w:b w:val="0"/>
                <w:i w:val="0"/>
                <w:sz w:val="17"/>
              </w:rPr>
              <w:t>About half a day</w:t>
            </w:r>
          </w:p>
        </w:tc>
      </w:tr>
      <w:tr>
        <w:trPr>
          <w:cantSplit/>
        </w:trPr>
        <w:tc>
          <w:tcPr>
            <w:tcW w:type="dxa" w:w="3324"/>
          </w:tcPr>
          <w:p>
            <w:r>
              <w:rPr>
                <w:b w:val="0"/>
                <w:sz w:val="17"/>
              </w:rPr>
            </w:r>
            <w:r>
              <w:rPr>
                <w:b w:val="0"/>
                <w:i w:val="0"/>
                <w:sz w:val="17"/>
              </w:rPr>
              <w:t>5</w:t>
            </w:r>
          </w:p>
        </w:tc>
        <w:tc>
          <w:tcPr>
            <w:tcW w:type="dxa" w:w="3324"/>
          </w:tcPr>
          <w:p>
            <w:r>
              <w:rPr>
                <w:b w:val="0"/>
                <w:sz w:val="17"/>
              </w:rPr>
            </w:r>
            <w:r>
              <w:rPr>
                <w:b w:val="0"/>
                <w:i w:val="0"/>
                <w:sz w:val="17"/>
              </w:rPr>
              <w:t>Release to MAIIC's server by the release steps of the integration document (section 2.2): push, pull, migrate, bootstrap with the nine ties passing, then the comparison runs for December 2025 and September 2026</w:t>
            </w:r>
          </w:p>
        </w:tc>
        <w:tc>
          <w:tcPr>
            <w:tcW w:type="dxa" w:w="3324"/>
          </w:tcPr>
          <w:p>
            <w:r>
              <w:rPr>
                <w:b w:val="0"/>
                <w:sz w:val="17"/>
              </w:rPr>
            </w:r>
            <w:r>
              <w:rPr>
                <w:b w:val="0"/>
                <w:i w:val="0"/>
                <w:sz w:val="17"/>
              </w:rPr>
              <w:t>With MAIIC ICT</w:t>
            </w:r>
          </w:p>
        </w:tc>
      </w:tr>
      <w:tr>
        <w:trPr>
          <w:cantSplit/>
        </w:trPr>
        <w:tc>
          <w:tcPr>
            <w:tcW w:type="dxa" w:w="3324"/>
          </w:tcPr>
          <w:p>
            <w:r>
              <w:rPr>
                <w:b w:val="0"/>
                <w:sz w:val="17"/>
              </w:rPr>
            </w:r>
            <w:r>
              <w:rPr>
                <w:b w:val="0"/>
                <w:i w:val="0"/>
                <w:sz w:val="17"/>
              </w:rPr>
              <w:t>Later</w:t>
            </w:r>
          </w:p>
        </w:tc>
        <w:tc>
          <w:tcPr>
            <w:tcW w:type="dxa" w:w="3324"/>
          </w:tcPr>
          <w:p>
            <w:r>
              <w:rPr>
                <w:b w:val="0"/>
                <w:sz w:val="17"/>
              </w:rPr>
            </w:r>
            <w:r>
              <w:rPr>
                <w:b w:val="0"/>
                <w:i w:val="0"/>
                <w:sz w:val="17"/>
              </w:rPr>
              <w:t>Setting 9, once each loan's PD at origination is kept</w:t>
            </w:r>
          </w:p>
        </w:tc>
        <w:tc>
          <w:tcPr>
            <w:tcW w:type="dxa" w:w="3324"/>
          </w:tcPr>
          <w:p>
            <w:r>
              <w:rPr>
                <w:b w:val="0"/>
                <w:sz w:val="17"/>
              </w:rPr>
            </w:r>
            <w:r>
              <w:rPr>
                <w:b w:val="0"/>
                <w:i w:val="0"/>
                <w:sz w:val="17"/>
              </w:rPr>
              <w:t>To be planned</w:t>
            </w:r>
          </w:p>
        </w:tc>
      </w:tr>
    </w:tbl>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