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Six workflows honour it: Governance Centre settings, the EIR lock, fee classification review, SICR triggers, rate resets and the restructure register. The other workflows of section 8.6 refuse a self-approval whatever the setting says, and the fee rulebook has no maker-checker at all until phase 3. The bootstrap approves its own steps under the label "System Bootstrap (automated data-readiness, not a MAIIC approval)", so checking the month-end results needs no human approvals; the override matters only for testing the screens and workflows themselves.</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Governance Centre and every workflow of section 8.6 use one shared check, and each honours the override in the same way</w:t>
            </w:r>
          </w:p>
        </w:tc>
        <w:tc>
          <w:tcPr>
            <w:tcW w:type="dxa" w:w="3324"/>
          </w:tcPr>
          <w:p>
            <w:r>
              <w:rPr>
                <w:b w:val="0"/>
                <w:sz w:val="17"/>
              </w:rPr>
            </w:r>
            <w:r>
              <w:rPr>
                <w:b w:val="0"/>
                <w:i w:val="0"/>
                <w:sz w:val="17"/>
              </w:rPr>
              <w:t>Today 6 of about 20 honour it</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(for example </w:t>
            </w:r>
            <w:r>
              <w:rPr>
                <w:rFonts w:ascii="Consolas" w:hAnsi="Consolas"/>
                <w:b w:val="0"/>
                <w:i w:val="0"/>
                <w:sz w:val="17"/>
              </w:rPr>
              <w:t>APP_ENV=uat</w:t>
            </w:r>
            <w:r>
              <w:rPr>
                <w:b w:val="0"/>
                <w:i w:val="0"/>
                <w:sz w:val="17"/>
              </w:rPr>
              <w:t xml:space="preserve">) </w:t>
            </w:r>
            <w:r>
              <w:rPr>
                <w:b/>
                <w:i w:val="0"/>
                <w:sz w:val="17"/>
              </w:rPr>
              <w:t>and</w:t>
            </w:r>
            <w:r>
              <w:rPr>
                <w:b w:val="0"/>
                <w:i w:val="0"/>
                <w:sz w:val="17"/>
              </w:rPr>
              <w:t xml:space="preserve"> the governed setting allows it. Under a production environment it is refused whatever the setting says, and the option cannot be approved there</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Seeded in UAT.</w:t>
            </w:r>
            <w:r>
              <w:rPr>
                <w:b w:val="0"/>
                <w:i w:val="0"/>
                <w:sz w:val="17"/>
              </w:rPr>
              <w:t xml:space="preserve"> Installing the UAT environment seeds the override as allowed, labelled as seeded for UAT, so no second person is needed to start</w:t>
            </w:r>
          </w:p>
        </w:tc>
        <w:tc>
          <w:tcPr>
            <w:tcW w:type="dxa" w:w="3324"/>
          </w:tcPr>
          <w:p>
            <w:r>
              <w:rPr>
                <w:b w:val="0"/>
                <w:sz w:val="17"/>
              </w:rPr>
            </w:r>
            <w:r>
              <w:rPr>
                <w:b w:val="0"/>
                <w:i w:val="0"/>
                <w:sz w:val="17"/>
              </w:rPr>
              <w:t>Removes the first-switch problem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labelled.</w:t>
            </w:r>
            <w:r>
              <w:rPr>
                <w:b w:val="0"/>
                <w:i w:val="0"/>
                <w:sz w:val="17"/>
              </w:rPr>
              <w:t xml:space="preserve"> The record and the audit entry say "UAT self-approval (administrator override)", with the override setting in force (the "Override used" event of section 8.2)</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w:t>
            </w:r>
          </w:p>
        </w:tc>
        <w:tc>
          <w:tcPr>
            <w:tcW w:type="dxa" w:w="3324"/>
          </w:tcPr>
          <w:p>
            <w:r>
              <w:rPr>
                <w:b w:val="0"/>
                <w:sz w:val="17"/>
              </w:rPr>
            </w:r>
            <w:r>
              <w:rPr>
                <w:b w:val="0"/>
                <w:i w:val="0"/>
                <w:sz w:val="17"/>
              </w:rPr>
              <w:t>The two-person rule is fully on from the first day of live use</w:t>
            </w:r>
          </w:p>
        </w:tc>
      </w:tr>
    </w:tbl>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The UAT environment only; the handover sign-off records the switch-off, approved by a second person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and the allowing option cannot be approved.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afterwards every workflow refuses a self-approval.</w:t>
      </w:r>
    </w:p>
    <w:p>
      <w:pPr>
        <w:pStyle w:val="Heading2"/>
      </w:pPr>
      <w:r>
        <w:t>11. Build order</w:t>
      </w:r>
    </w:p>
    <w:p>
      <w:pPr>
        <w:spacing w:after="120"/>
        <w:jc w:val="both"/>
      </w:pPr>
      <w:r>
        <w:rPr>
          <w:b w:val="0"/>
          <w:i w:val="0"/>
        </w:rPr>
        <w:t>The work is done in four phases, in the order below, so that the parts that protect the locked months and unblock decisions are built first. The whole build is done on its own branch and merged once, when every section is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2.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the comparison runs for December 2025 and September 2026 on the branch's bootstrap database</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11 to 11.5 days of build. The first phase also brings UAT mode, so that once the build is released, testing on MAIIC's server can run without waiting for a second person on each step; the first three phases, about 6 days, bring the protection of locked months, UAT mode, governed staging and the controlled fee rulebook. The fee rulebook joins the shared maker-checker check of UAT mode when phase 3 gives it maker-checker. Not included: the time to resolve the bootstrap's slow final steps seen on 15 October 2026, which must be fixed before the merge, since the merge and the release depend on the bootstrap passing.</w:t>
      </w:r>
    </w:p>
    <w:p>
      <w:pPr>
        <w:pStyle w:val="Heading3"/>
      </w:pPr>
      <w:r>
        <w:t>11.1 How the build is run: one branch, a confirmation at the start and end of each section</w:t>
      </w:r>
    </w:p>
    <w:p>
      <w:pPr>
        <w:spacing w:after="120"/>
        <w:jc w:val="both"/>
      </w:pPr>
      <w:r>
        <w:rPr>
          <w:b/>
          <w:i w:val="0"/>
        </w:rPr>
        <w:t>One branch.</w:t>
      </w:r>
      <w:r>
        <w:rPr>
          <w:b w:val="0"/>
          <w:i w:val="0"/>
        </w:rPr>
        <w:t xml:space="preserve"> The whole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xml:space="preserve">) when the build starts. Nothing from it reaches the main branch, </w:t>
      </w:r>
      <w:r>
        <w:rPr>
          <w:rFonts w:ascii="Consolas" w:hAnsi="Consolas"/>
          <w:b w:val="0"/>
          <w:i w:val="0"/>
          <w:sz w:val="18"/>
        </w:rPr>
        <w:t>master</w:t>
      </w:r>
      <w:r>
        <w:rPr>
          <w:b w:val="0"/>
          <w:i w:val="0"/>
        </w:rPr>
        <w:t xml:space="preserve"> or MAIIC's server until the complete build is finished, tested and confirmed. The branch is pushed to the repository after each section so that the work is backed up and visible, but it is not merged. It is brought up to date with the main branch (rebased) at the start of each section, so that colleagues' work in the same files is taken in as it happens and the final merge is clean.</w:t>
      </w:r>
    </w:p>
    <w:p>
      <w:pPr>
        <w:spacing w:after="120"/>
        <w:jc w:val="both"/>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jc w:val="both"/>
      </w:pPr>
      <w:r>
        <w:rPr>
          <w:b/>
          <w:i w:val="0"/>
        </w:rPr>
        <w:t>A confirmation when each section ends.</w:t>
      </w:r>
      <w:r>
        <w:rPr>
          <w:b w:val="0"/>
          <w:i w:val="0"/>
        </w:rPr>
        <w:t xml:space="preserve"> When a section is built, Dupleix reports what was built, the commits, the tests and their results, the bootstrap result on the branch (the nine golden ties), and anything found along the way that changes the plan, and waits for Edward's confirmation that the section is complete. Only then does the next section start. A section that is not confirmed is reworked on the branch.</w:t>
      </w:r>
    </w:p>
    <w:p>
      <w:pPr>
        <w:spacing w:after="120"/>
        <w:jc w:val="both"/>
      </w:pPr>
      <w:r>
        <w:rPr>
          <w:b/>
          <w:i w:val="0"/>
        </w:rPr>
        <w:t>The sections, in order.</w:t>
      </w:r>
      <w:r>
        <w:rPr>
          <w:b w:val="0"/>
          <w:i w:val="0"/>
        </w:rPr>
        <w:t xml:space="preserve"> Each row is one start-and-end confirmation:</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rPr>
          <w:cantSplit/>
        </w:trPr>
        <w:tc>
          <w:tcPr>
            <w:tcW w:type="dxa" w:w="2493"/>
          </w:tcPr>
          <w:p>
            <w:r>
              <w:rPr>
                <w:b w:val="0"/>
                <w:sz w:val="17"/>
              </w:rPr>
            </w:r>
            <w:r>
              <w:rPr>
                <w:b w:val="0"/>
                <w:i w:val="0"/>
                <w:sz w:val="17"/>
              </w:rPr>
              <w:t>1</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1</w:t>
            </w:r>
          </w:p>
        </w:tc>
        <w:tc>
          <w:tcPr>
            <w:tcW w:type="dxa" w:w="2493"/>
          </w:tcPr>
          <w:p>
            <w:r>
              <w:rPr>
                <w:b w:val="0"/>
                <w:sz w:val="17"/>
              </w:rPr>
            </w:r>
            <w:r>
              <w:rPr>
                <w:b w:val="0"/>
                <w:i w:val="0"/>
                <w:sz w:val="17"/>
              </w:rPr>
              <w:t>18</w:t>
            </w:r>
          </w:p>
        </w:tc>
      </w:tr>
      <w:tr>
        <w:trPr>
          <w:cantSplit/>
        </w:trPr>
        <w:tc>
          <w:tcPr>
            <w:tcW w:type="dxa" w:w="2493"/>
          </w:tcPr>
          <w:p>
            <w:r>
              <w:rPr>
                <w:b w:val="0"/>
                <w:sz w:val="17"/>
              </w:rPr>
            </w:r>
            <w:r>
              <w:rPr>
                <w:b w:val="0"/>
                <w:i w:val="0"/>
                <w:sz w:val="17"/>
              </w:rPr>
              <w:t>2</w:t>
            </w:r>
          </w:p>
        </w:tc>
        <w:tc>
          <w:tcPr>
            <w:tcW w:type="dxa" w:w="2493"/>
          </w:tcPr>
          <w:p>
            <w:r>
              <w:rPr>
                <w:b w:val="0"/>
                <w:sz w:val="17"/>
              </w:rPr>
            </w:r>
            <w:r>
              <w:rPr>
                <w:b w:val="0"/>
                <w:i w:val="0"/>
                <w:sz w:val="17"/>
              </w:rPr>
              <w:t>8.9: UAT mode</w:t>
            </w:r>
          </w:p>
        </w:tc>
        <w:tc>
          <w:tcPr>
            <w:tcW w:type="dxa" w:w="2493"/>
          </w:tcPr>
          <w:p>
            <w:r>
              <w:rPr>
                <w:b w:val="0"/>
                <w:sz w:val="17"/>
              </w:rPr>
            </w:r>
            <w:r>
              <w:rPr>
                <w:b w:val="0"/>
                <w:i w:val="0"/>
                <w:sz w:val="17"/>
              </w:rPr>
              <w:t>1</w:t>
            </w:r>
          </w:p>
        </w:tc>
        <w:tc>
          <w:tcPr>
            <w:tcW w:type="dxa" w:w="2493"/>
          </w:tcPr>
          <w:p>
            <w:r>
              <w:rPr>
                <w:b w:val="0"/>
                <w:sz w:val="17"/>
              </w:rPr>
            </w:r>
            <w:r>
              <w:rPr>
                <w:b w:val="0"/>
                <w:i w:val="0"/>
                <w:sz w:val="17"/>
              </w:rPr>
              <w:t>20 to 23</w:t>
            </w:r>
          </w:p>
        </w:tc>
      </w:tr>
      <w:tr>
        <w:trPr>
          <w:cantSplit/>
        </w:trPr>
        <w:tc>
          <w:tcPr>
            <w:tcW w:type="dxa" w:w="2493"/>
          </w:tcPr>
          <w:p>
            <w:r>
              <w:rPr>
                <w:b w:val="0"/>
                <w:sz w:val="17"/>
              </w:rPr>
            </w:r>
            <w:r>
              <w:rPr>
                <w:b w:val="0"/>
                <w:i w:val="0"/>
                <w:sz w:val="17"/>
              </w:rPr>
              <w:t>3</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2</w:t>
            </w:r>
          </w:p>
        </w:tc>
        <w:tc>
          <w:tcPr>
            <w:tcW w:type="dxa" w:w="2493"/>
          </w:tcPr>
          <w:p>
            <w:r>
              <w:rPr>
                <w:b w:val="0"/>
                <w:sz w:val="17"/>
              </w:rPr>
            </w:r>
            <w:r>
              <w:rPr>
                <w:b w:val="0"/>
                <w:i w:val="0"/>
                <w:sz w:val="17"/>
              </w:rPr>
              <w:t>1 to 3, 7</w:t>
            </w:r>
          </w:p>
        </w:tc>
      </w:tr>
      <w:tr>
        <w:trPr>
          <w:cantSplit/>
        </w:trPr>
        <w:tc>
          <w:tcPr>
            <w:tcW w:type="dxa" w:w="2493"/>
          </w:tcPr>
          <w:p>
            <w:r>
              <w:rPr>
                <w:b w:val="0"/>
                <w:sz w:val="17"/>
              </w:rPr>
            </w:r>
            <w:r>
              <w:rPr>
                <w:b w:val="0"/>
                <w:i w:val="0"/>
                <w:sz w:val="17"/>
              </w:rPr>
              <w:t>4</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2</w:t>
            </w:r>
          </w:p>
        </w:tc>
        <w:tc>
          <w:tcPr>
            <w:tcW w:type="dxa" w:w="2493"/>
          </w:tcPr>
          <w:p>
            <w:r>
              <w:rPr>
                <w:b w:val="0"/>
                <w:sz w:val="17"/>
              </w:rPr>
            </w:r>
            <w:r>
              <w:rPr>
                <w:b w:val="0"/>
                <w:i w:val="0"/>
                <w:sz w:val="17"/>
              </w:rPr>
              <w:t>6</w:t>
            </w:r>
          </w:p>
        </w:tc>
      </w:tr>
      <w:tr>
        <w:trPr>
          <w:cantSplit/>
        </w:trPr>
        <w:tc>
          <w:tcPr>
            <w:tcW w:type="dxa" w:w="2493"/>
          </w:tcPr>
          <w:p>
            <w:r>
              <w:rPr>
                <w:b w:val="0"/>
                <w:sz w:val="17"/>
              </w:rPr>
            </w:r>
            <w:r>
              <w:rPr>
                <w:b w:val="0"/>
                <w:i w:val="0"/>
                <w:sz w:val="17"/>
              </w:rPr>
              <w:t>5</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2</w:t>
            </w:r>
          </w:p>
        </w:tc>
        <w:tc>
          <w:tcPr>
            <w:tcW w:type="dxa" w:w="2493"/>
          </w:tcPr>
          <w:p>
            <w:r>
              <w:rPr>
                <w:b w:val="0"/>
                <w:sz w:val="17"/>
              </w:rPr>
            </w:r>
            <w:r>
              <w:rPr>
                <w:b w:val="0"/>
                <w:i w:val="0"/>
                <w:sz w:val="17"/>
              </w:rPr>
              <w:t>4, 5</w:t>
            </w:r>
          </w:p>
        </w:tc>
      </w:tr>
      <w:tr>
        <w:trPr>
          <w:cantSplit/>
        </w:trPr>
        <w:tc>
          <w:tcPr>
            <w:tcW w:type="dxa" w:w="2493"/>
          </w:tcPr>
          <w:p>
            <w:r>
              <w:rPr>
                <w:b w:val="0"/>
                <w:sz w:val="17"/>
              </w:rPr>
            </w:r>
            <w:r>
              <w:rPr>
                <w:b w:val="0"/>
                <w:i w:val="0"/>
                <w:sz w:val="17"/>
              </w:rPr>
              <w:t>6</w:t>
            </w:r>
          </w:p>
        </w:tc>
        <w:tc>
          <w:tcPr>
            <w:tcW w:type="dxa" w:w="2493"/>
          </w:tcPr>
          <w:p>
            <w:r>
              <w:rPr>
                <w:b w:val="0"/>
                <w:sz w:val="17"/>
              </w:rPr>
            </w:r>
            <w:r>
              <w:rPr>
                <w:b w:val="0"/>
                <w:i w:val="0"/>
                <w:sz w:val="17"/>
              </w:rPr>
              <w:t>8.6: fee rulebook control</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rPr>
          <w:cantSplit/>
        </w:trP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rPr>
          <w:cantSplit/>
        </w:trP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rPr>
          <w:cantSplit/>
        </w:trP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rPr>
          <w:cantSplit/>
        </w:trPr>
        <w:tc>
          <w:tcPr>
            <w:tcW w:type="dxa" w:w="2493"/>
          </w:tcPr>
          <w:p>
            <w:r>
              <w:rPr>
                <w:b w:val="0"/>
                <w:sz w:val="17"/>
              </w:rPr>
            </w:r>
            <w:r>
              <w:rPr>
                <w:b w:val="0"/>
                <w:i w:val="0"/>
                <w:sz w:val="17"/>
              </w:rPr>
              <w:t>11</w:t>
            </w:r>
          </w:p>
        </w:tc>
        <w:tc>
          <w:tcPr>
            <w:tcW w:type="dxa" w:w="2493"/>
          </w:tcPr>
          <w:p>
            <w:r>
              <w:rPr>
                <w:b w:val="0"/>
                <w:sz w:val="17"/>
              </w:rPr>
            </w:r>
            <w:r>
              <w:rPr>
                <w:b w:val="0"/>
                <w:i w:val="0"/>
                <w:sz w:val="17"/>
              </w:rPr>
              <w:t>The complete build: all 23 acceptance tests, the full test suite and a bootstrap on a fresh database with the nine ties passing</w:t>
            </w:r>
          </w:p>
        </w:tc>
        <w:tc>
          <w:tcPr>
            <w:tcW w:type="dxa" w:w="2493"/>
          </w:tcPr>
          <w:p>
            <w:r>
              <w:rPr>
                <w:b w:val="0"/>
                <w:sz w:val="17"/>
              </w:rPr>
            </w:r>
            <w:r>
              <w:rPr>
                <w:b w:val="0"/>
                <w:i w:val="0"/>
                <w:sz w:val="17"/>
              </w:rPr>
              <w:t>All</w:t>
            </w:r>
          </w:p>
        </w:tc>
        <w:tc>
          <w:tcPr>
            <w:tcW w:type="dxa" w:w="2493"/>
          </w:tcPr>
          <w:p>
            <w:r>
              <w:rPr>
                <w:b w:val="0"/>
                <w:sz w:val="17"/>
              </w:rPr>
            </w:r>
            <w:r>
              <w:rPr>
                <w:b w:val="0"/>
                <w:i w:val="0"/>
                <w:sz w:val="17"/>
              </w:rPr>
              <w:t>8 and all</w:t>
            </w:r>
          </w:p>
        </w:tc>
      </w:tr>
    </w:tbl>
    <w:p/>
    <w:p>
      <w:pPr>
        <w:spacing w:after="120"/>
        <w:jc w:val="both"/>
      </w:pPr>
      <w:r>
        <w:rPr>
          <w:b/>
          <w:i w:val="0"/>
        </w:rPr>
        <w:t>The merge.</w:t>
      </w:r>
      <w:r>
        <w:rPr>
          <w:b w:val="0"/>
          <w:i w:val="0"/>
        </w:rPr>
        <w:t xml:space="preserve"> When section 11 is confirmed, the branch is rebased onto the main branch one last time, the full tests and the bootstrap are run again, and the complete build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in one step, with a merge note listing every section, its confirmation and the decisions (section 9) it rests on. It is then released to MAIIC's server once, by the release steps of the integration document (section 2.2: push, pull, migrate, bootstrap with the nine ties passing).</w:t>
      </w:r>
    </w:p>
    <w:p>
      <w:pPr>
        <w:spacing w:after="120"/>
        <w:jc w:val="both"/>
      </w:pPr>
      <w:r>
        <w:rPr>
          <w:b/>
          <w:i w:val="0"/>
        </w:rPr>
        <w:t>What this means for the order.</w:t>
      </w:r>
      <w:r>
        <w:rPr>
          <w:b w:val="0"/>
          <w:i w:val="0"/>
        </w:rPr>
        <w:t xml:space="preserve"> Because nothing is merged until the end, the protections of phase 1 (no back-dating, UAT mode) and the fee rulebook control of phase 3 reach MAIIC's server with the complete build, not earlier. If one of them is needed sooner, it can be taken out of the branch as its own small merge, with Edward's confirmation, and the rest of the build continues on the branch.</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