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jc w:val="both"/>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jc w:val="both"/>
      </w:pPr>
      <w:r>
        <w:rPr>
          <w:b/>
          <w:i w:val="0"/>
        </w:rPr>
        <w:t>What exists today.</w:t>
      </w:r>
      <w:r>
        <w:rPr>
          <w:b w:val="0"/>
          <w:i w:val="0"/>
        </w:rPr>
        <w:t xml:space="preserve">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Six workflows honour it: Governance Centre settings, the EIR lock, fee classification review, SICR triggers, rate resets and the restructure register. The other workflows of section 8.6 refuse a self-approval whatever the setting says, and the fee rulebook has no maker-checker at all until phase 3. The bootstrap approves its own steps under the label "System Bootstrap (automated data-readiness, not a MAIIC approval)", so checking the month-end results needs no human approvals; the override matters only for testing the screens and workflows themselves.</w:t>
      </w:r>
    </w:p>
    <w:p>
      <w:pPr>
        <w:spacing w:after="120"/>
        <w:jc w:val="both"/>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w:t>
      </w:r>
    </w:p>
    <w:p>
      <w:pPr>
        <w:spacing w:after="120"/>
        <w:jc w:val="both"/>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Governance Centre and every workflow of section 8.6 use one shared check, and each honours the override in the same way</w:t>
            </w:r>
          </w:p>
        </w:tc>
        <w:tc>
          <w:tcPr>
            <w:tcW w:type="dxa" w:w="3324"/>
          </w:tcPr>
          <w:p>
            <w:r>
              <w:rPr>
                <w:b w:val="0"/>
                <w:sz w:val="17"/>
              </w:rPr>
            </w:r>
            <w:r>
              <w:rPr>
                <w:b w:val="0"/>
                <w:i w:val="0"/>
                <w:sz w:val="17"/>
              </w:rPr>
              <w:t>Today 6 of about 20 honour it</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(for example </w:t>
            </w:r>
            <w:r>
              <w:rPr>
                <w:rFonts w:ascii="Consolas" w:hAnsi="Consolas"/>
                <w:b w:val="0"/>
                <w:i w:val="0"/>
                <w:sz w:val="17"/>
              </w:rPr>
              <w:t>APP_ENV=uat</w:t>
            </w:r>
            <w:r>
              <w:rPr>
                <w:b w:val="0"/>
                <w:i w:val="0"/>
                <w:sz w:val="17"/>
              </w:rPr>
              <w:t xml:space="preserve">) </w:t>
            </w:r>
            <w:r>
              <w:rPr>
                <w:b/>
                <w:i w:val="0"/>
                <w:sz w:val="17"/>
              </w:rPr>
              <w:t>and</w:t>
            </w:r>
            <w:r>
              <w:rPr>
                <w:b w:val="0"/>
                <w:i w:val="0"/>
                <w:sz w:val="17"/>
              </w:rPr>
              <w:t xml:space="preserve"> the governed setting allows it. Under a production environment it is refused whatever the setting says, and the option cannot be approved there</w:t>
            </w:r>
          </w:p>
        </w:tc>
        <w:tc>
          <w:tcPr>
            <w:tcW w:type="dxa" w:w="3324"/>
          </w:tcPr>
          <w:p>
            <w:r>
              <w:rPr>
                <w:b w:val="0"/>
                <w:sz w:val="17"/>
              </w:rPr>
            </w:r>
            <w:r>
              <w:rPr>
                <w:b w:val="0"/>
                <w:i w:val="0"/>
                <w:sz w:val="17"/>
              </w:rPr>
              <w:t>It cannot be left on, or switched on, in production</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Seeded in UAT.</w:t>
            </w:r>
            <w:r>
              <w:rPr>
                <w:b w:val="0"/>
                <w:i w:val="0"/>
                <w:sz w:val="17"/>
              </w:rPr>
              <w:t xml:space="preserve"> Installing the UAT environment seeds the override as allowed, labelled as seeded for UAT, so no second person is needed to start</w:t>
            </w:r>
          </w:p>
        </w:tc>
        <w:tc>
          <w:tcPr>
            <w:tcW w:type="dxa" w:w="3324"/>
          </w:tcPr>
          <w:p>
            <w:r>
              <w:rPr>
                <w:b w:val="0"/>
                <w:sz w:val="17"/>
              </w:rPr>
            </w:r>
            <w:r>
              <w:rPr>
                <w:b w:val="0"/>
                <w:i w:val="0"/>
                <w:sz w:val="17"/>
              </w:rPr>
              <w:t>Removes the first-switch problem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Every self-approval labelled.</w:t>
            </w:r>
            <w:r>
              <w:rPr>
                <w:b w:val="0"/>
                <w:i w:val="0"/>
                <w:sz w:val="17"/>
              </w:rPr>
              <w:t xml:space="preserve"> The record and the audit entry say "UAT self-approval (administrator override)", with the override setting in force (the "Override used" event of section 8.2)</w:t>
            </w:r>
          </w:p>
        </w:tc>
        <w:tc>
          <w:tcPr>
            <w:tcW w:type="dxa" w:w="3324"/>
          </w:tcPr>
          <w:p>
            <w:r>
              <w:rPr>
                <w:b w:val="0"/>
                <w:sz w:val="17"/>
              </w:rPr>
            </w:r>
            <w:r>
              <w:rPr>
                <w:b w:val="0"/>
                <w:i w:val="0"/>
                <w:sz w:val="17"/>
              </w:rPr>
              <w:t>A test approval can always be told from a real one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by workflow, person and date, exportable</w:t>
            </w:r>
          </w:p>
        </w:tc>
        <w:tc>
          <w:tcPr>
            <w:tcW w:type="dxa" w:w="3324"/>
          </w:tcPr>
          <w:p>
            <w:r>
              <w:rPr>
                <w:b w:val="0"/>
                <w:sz w:val="17"/>
              </w:rPr>
            </w:r>
            <w:r>
              <w:rPr>
                <w:b w:val="0"/>
                <w:i w:val="0"/>
                <w:sz w:val="17"/>
              </w:rPr>
              <w:t>Shows at handover exactly what was approved without a second person</w:t>
            </w:r>
          </w:p>
        </w:tc>
      </w:tr>
      <w:tr>
        <w:trPr>
          <w:cantSplit/>
        </w:trP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w:t>
            </w:r>
          </w:p>
        </w:tc>
        <w:tc>
          <w:tcPr>
            <w:tcW w:type="dxa" w:w="3324"/>
          </w:tcPr>
          <w:p>
            <w:r>
              <w:rPr>
                <w:b w:val="0"/>
                <w:sz w:val="17"/>
              </w:rPr>
            </w:r>
            <w:r>
              <w:rPr>
                <w:b w:val="0"/>
                <w:i w:val="0"/>
                <w:sz w:val="17"/>
              </w:rPr>
              <w:t>The two-person rule is fully on from the first day of live use</w:t>
            </w:r>
          </w:p>
        </w:tc>
      </w:tr>
    </w:tbl>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rPr>
          <w:cantSplit/>
        </w:trP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The UAT environment only; the handover sign-off records the switch-off, approved by a second person</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ListNumber"/>
        <w:jc w:val="both"/>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jc w:val="both"/>
      </w:pPr>
      <w:r>
        <w:rPr>
          <w:b/>
          <w:i w:val="0"/>
        </w:rPr>
        <w:t>Production guard.</w:t>
      </w:r>
      <w:r>
        <w:rPr>
          <w:b w:val="0"/>
          <w:i w:val="0"/>
        </w:rPr>
        <w:t xml:space="preserve"> Under a production environment a self-approval is refused even with the setting allowed, and the allowing option cannot be approved.</w:t>
      </w:r>
    </w:p>
    <w:p>
      <w:pPr>
        <w:pStyle w:val="ListNumber"/>
        <w:jc w:val="both"/>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jc w:val="both"/>
      </w:pPr>
      <w:r>
        <w:rPr>
          <w:b/>
          <w:i w:val="0"/>
        </w:rPr>
        <w:t>Handover.</w:t>
      </w:r>
      <w:r>
        <w:rPr>
          <w:b w:val="0"/>
          <w:i w:val="0"/>
        </w:rPr>
        <w:t xml:space="preserve"> Switching the override off needs a second person; afterwards every workflow refuses a self-approval.</w:t>
      </w:r>
    </w:p>
    <w:p>
      <w:pPr>
        <w:pStyle w:val="Heading2"/>
      </w:pPr>
      <w:r>
        <w:t>11. Build order</w:t>
      </w:r>
    </w:p>
    <w:p>
      <w:pPr>
        <w:spacing w:after="120"/>
        <w:jc w:val="both"/>
      </w:pPr>
      <w:r>
        <w:rPr>
          <w:b w:val="0"/>
          <w:i w:val="0"/>
        </w:rPr>
        <w:t>The work is done in four phases, so that the parts that protect the locked months and unblock decisions arrive first. Each phase is tested, released to MAIIC's server by the release steps of the integration document (section 2.2: push, pull, migrate, bootstrap with the nine ties passing) and only then followed by the next. The sizes are Dupleix's estimates of the build, before release.</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rPr>
          <w:cantSplit/>
        </w:trPr>
        <w:tc>
          <w:tcPr>
            <w:tcW w:type="dxa" w:w="1994"/>
          </w:tcPr>
          <w:p>
            <w:r>
              <w:rPr>
                <w:b w:val="0"/>
                <w:sz w:val="17"/>
              </w:rPr>
            </w:r>
            <w:r>
              <w:rPr>
                <w:b/>
                <w:i w:val="0"/>
                <w:sz w:val="17"/>
              </w:rPr>
              <w:t>2.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11 to 11.5 days of build. The first phase now also brings UAT mode, so that testing can run on MAIIC's server without waiting for a second person on each step; the first three phases, about 6 days, bring the protection of locked months, UAT mode, governed staging and the controlled fee rulebook. The fee rulebook joins the shared maker-checker check of UAT mode when phase 3 gives it maker-checker. Not included: the time to resolve the bootstrap's slow final steps seen on 15 October 2026, which must be fixed before the first release, since each release depends on the bootstrap passing on MAIIC's server.</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