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Shell, shared styles, the tree and the help centre (114 passages re-worded, a navigation article) built; the page-by-page dark sweep (11.9) remains</w:t>
            </w:r>
          </w:p>
        </w:tc>
        <w:tc>
          <w:tcPr>
            <w:tcW w:type="dxa" w:w="2493"/>
          </w:tcPr>
          <w:p>
            <w:r>
              <w:rPr>
                <w:b w:val="0"/>
                <w:sz w:val="17"/>
              </w:rPr>
            </w:r>
            <w:r>
              <w:rPr>
                <w:rFonts w:ascii="Consolas" w:hAnsi="Consolas"/>
                <w:b w:val="0"/>
                <w:i w:val="0"/>
                <w:sz w:val="17"/>
              </w:rPr>
              <w:t>config/menu.php</w:t>
            </w:r>
            <w:r>
              <w:rPr>
                <w:b w:val="0"/>
                <w:i w:val="0"/>
                <w:sz w:val="17"/>
              </w:rPr>
              <w:t xml:space="preserve">, </w:t>
            </w:r>
            <w:r>
              <w:rPr>
                <w:rFonts w:ascii="Consolas" w:hAnsi="Consolas"/>
                <w:b w:val="0"/>
                <w:i w:val="0"/>
                <w:sz w:val="17"/>
              </w:rPr>
              <w:t>AppLayout.vue</w:t>
            </w:r>
            <w:r>
              <w:rPr>
                <w:b w:val="0"/>
                <w:i w:val="0"/>
                <w:sz w:val="17"/>
              </w:rPr>
              <w:t xml:space="preserve">, </w:t>
            </w:r>
            <w:r>
              <w:rPr>
                <w:rFonts w:ascii="Consolas" w:hAnsi="Consolas"/>
                <w:b w:val="0"/>
                <w:i w:val="0"/>
                <w:sz w:val="17"/>
              </w:rPr>
              <w:t>useTheme.js</w:t>
            </w:r>
            <w:r>
              <w:rPr>
                <w:b w:val="0"/>
                <w:i w:val="0"/>
                <w:sz w:val="17"/>
              </w:rPr>
              <w:t xml:space="preserve">, </w:t>
            </w:r>
            <w:r>
              <w:rPr>
                <w:rFonts w:ascii="Consolas" w:hAnsi="Consolas"/>
                <w:b w:val="0"/>
                <w:i w:val="0"/>
                <w:sz w:val="17"/>
              </w:rPr>
              <w:t>NavigationTest</w:t>
            </w:r>
            <w:r>
              <w:rPr>
                <w:b w:val="0"/>
                <w:i w:val="0"/>
                <w:sz w:val="17"/>
              </w:rPr>
              <w:t>, the help seeders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31 schedules generated and approved under the bootstrap label; 31 EIRs solved; 12 locked; 19 blocked at the fee gate because the rulebook is unapproved</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23.5%, LGD 60.25%</w:t>
            </w:r>
          </w:p>
        </w:tc>
      </w:tr>
      <w:tr>
        <w:tc>
          <w:tcPr>
            <w:tcW w:type="dxa" w:w="4986"/>
          </w:tcPr>
          <w:p>
            <w:r>
              <w:rPr>
                <w:b w:val="0"/>
                <w:sz w:val="17"/>
              </w:rPr>
            </w:r>
            <w:r>
              <w:rPr>
                <w:b w:val="0"/>
                <w:i w:val="0"/>
                <w:sz w:val="17"/>
              </w:rPr>
              <w:t>ECL, August 2026</w:t>
            </w:r>
          </w:p>
        </w:tc>
        <w:tc>
          <w:tcPr>
            <w:tcW w:type="dxa" w:w="4986"/>
          </w:tcPr>
          <w:p>
            <w:r>
              <w:rPr>
                <w:b w:val="0"/>
                <w:sz w:val="17"/>
              </w:rPr>
            </w:r>
            <w:r>
              <w:rPr>
                <w:b w:val="0"/>
                <w:i w:val="0"/>
                <w:sz w:val="17"/>
              </w:rPr>
              <w:t>8.33bn on 23.32bn gross: Stage 1 1.58bn, Stage 2 1.82bn, Stage 3 4.93bn</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base 9.63bn, upside 9.00bn, downside 11.10bn, severe 12.99bn, weighted 10.24bn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The best applied fit on a book-level proxy (the PLR to the Stage 3 share, lag 9) approved under the label; adjustments of -8.7% upside, +21.8% downside, +34.9% severe; the ECL on the post-FLI PD 8.94bn</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base 8.94bn, upside 8.31bn (-7.1%), downside 10.22bn (+14.3%), severe 11.86bn (+32.7%)</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dark-mode page sweep</w:t>
            </w:r>
          </w:p>
        </w:tc>
        <w:tc>
          <w:tcPr>
            <w:tcW w:type="dxa" w:w="3324"/>
          </w:tcPr>
          <w:p>
            <w:r>
              <w:rPr>
                <w:b w:val="0"/>
                <w:sz w:val="17"/>
              </w:rPr>
            </w:r>
            <w:r>
              <w:rPr>
                <w:b w:val="0"/>
                <w:i w:val="0"/>
                <w:sz w:val="17"/>
              </w:rPr>
              <w:t>11.9</w:t>
            </w:r>
          </w:p>
        </w:tc>
        <w:tc>
          <w:tcPr>
            <w:tcW w:type="dxa" w:w="3324"/>
          </w:tcPr>
          <w:p>
            <w:r>
              <w:rPr>
                <w:b w:val="0"/>
                <w:sz w:val="17"/>
              </w:rPr>
            </w:r>
            <w:r>
              <w:rPr>
                <w:b w:val="0"/>
                <w:i w:val="0"/>
                <w:sz w:val="17"/>
              </w:rPr>
              <w:t>Ongoing: the shell and the shared classes carry the theme; pages that style elements directly are swept group by group as they are touched</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test run above: 308 passed, 24 skipped.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