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 xml:space="preserve">Shell, shared styles, the tree and the help centre (114 passages re-worded, a navigation article) built. The dark-mode page sweep (11.9) is done: the light utilities the 292 pages colour themselves with are re-mapped under </w:t>
            </w:r>
            <w:r>
              <w:rPr>
                <w:rFonts w:ascii="Consolas" w:hAnsi="Consolas"/>
                <w:b w:val="0"/>
                <w:i w:val="0"/>
                <w:sz w:val="17"/>
              </w:rPr>
              <w:t>.dark</w:t>
            </w:r>
            <w:r>
              <w:rPr>
                <w:b w:val="0"/>
                <w:i w:val="0"/>
                <w:sz w:val="17"/>
              </w:rPr>
              <w:t xml:space="preserve"> to the suite's palette in one place (surfaces, text, borders, dividers, rings, hover and focus states, pastel tints and their text, gradients, shadows, every input type, the legacy form classes, a bare </w:t>
            </w:r>
            <w:r>
              <w:rPr>
                <w:rFonts w:ascii="Consolas" w:hAnsi="Consolas"/>
                <w:b w:val="0"/>
                <w:i w:val="0"/>
                <w:sz w:val="17"/>
              </w:rPr>
              <w:t>border</w:t>
            </w:r>
            <w:r>
              <w:rPr>
                <w:b w:val="0"/>
                <w:i w:val="0"/>
                <w:sz w:val="17"/>
              </w:rPr>
              <w:t xml:space="preserve">), so every page follows the theme at once and a page with its own </w:t>
            </w:r>
            <w:r>
              <w:rPr>
                <w:rFonts w:ascii="Consolas" w:hAnsi="Consolas"/>
                <w:b w:val="0"/>
                <w:i w:val="0"/>
                <w:sz w:val="17"/>
              </w:rPr>
              <w:t>dark:</w:t>
            </w:r>
            <w:r>
              <w:rPr>
                <w:b w:val="0"/>
                <w:i w:val="0"/>
                <w:sz w:val="17"/>
              </w:rPr>
              <w:t xml:space="preserve"> variant keeps it; the dashboard's charts take their neutrals from the theme. Proven by capturing all 120 manual screens in dark mode (</w:t>
            </w:r>
            <w:r>
              <w:rPr>
                <w:rFonts w:ascii="Consolas" w:hAnsi="Consolas"/>
                <w:b w:val="0"/>
                <w:i w:val="0"/>
                <w:sz w:val="17"/>
              </w:rPr>
              <w:t>manual:screenshots --theme=dark</w:t>
            </w:r>
            <w:r>
              <w:rPr>
                <w:b w:val="0"/>
                <w:i w:val="0"/>
                <w:sz w:val="17"/>
              </w:rPr>
              <w:t>) and measuring the share of near-white pixels: none above 2 percent, the light theme unchanged</w:t>
            </w:r>
          </w:p>
        </w:tc>
        <w:tc>
          <w:tcPr>
            <w:tcW w:type="dxa" w:w="2493"/>
          </w:tcPr>
          <w:p>
            <w:r>
              <w:rPr>
                <w:b w:val="0"/>
                <w:sz w:val="17"/>
              </w:rPr>
            </w:r>
            <w:r>
              <w:rPr>
                <w:rFonts w:ascii="Consolas" w:hAnsi="Consolas"/>
                <w:b w:val="0"/>
                <w:i w:val="0"/>
                <w:sz w:val="17"/>
              </w:rPr>
              <w:t>resources/css/app.css</w:t>
            </w:r>
            <w:r>
              <w:rPr>
                <w:b w:val="0"/>
                <w:i w:val="0"/>
                <w:sz w:val="17"/>
              </w:rPr>
              <w:t xml:space="preserve"> (the </w:t>
            </w:r>
            <w:r>
              <w:rPr>
                <w:rFonts w:ascii="Consolas" w:hAnsi="Consolas"/>
                <w:b w:val="0"/>
                <w:i w:val="0"/>
                <w:sz w:val="17"/>
              </w:rPr>
              <w:t>.dark</w:t>
            </w:r>
            <w:r>
              <w:rPr>
                <w:b w:val="0"/>
                <w:i w:val="0"/>
                <w:sz w:val="17"/>
              </w:rPr>
              <w:t xml:space="preserve"> layer), </w:t>
            </w:r>
            <w:r>
              <w:rPr>
                <w:rFonts w:ascii="Consolas" w:hAnsi="Consolas"/>
                <w:b w:val="0"/>
                <w:i w:val="0"/>
                <w:sz w:val="17"/>
              </w:rPr>
              <w:t>Dashboard.vue</w:t>
            </w:r>
            <w:r>
              <w:rPr>
                <w:b w:val="0"/>
                <w:i w:val="0"/>
                <w:sz w:val="17"/>
              </w:rPr>
              <w:t xml:space="preserve">, </w:t>
            </w:r>
            <w:r>
              <w:rPr>
                <w:rFonts w:ascii="Consolas" w:hAnsi="Consolas"/>
                <w:b w:val="0"/>
                <w:i w:val="0"/>
                <w:sz w:val="17"/>
              </w:rPr>
              <w:t>manual:screenshots --theme</w:t>
            </w:r>
            <w:r>
              <w:rPr>
                <w:b w:val="0"/>
                <w:i w:val="0"/>
                <w:sz w:val="17"/>
              </w:rPr>
              <w:t xml:space="preserve">, </w:t>
            </w:r>
            <w:r>
              <w:rPr>
                <w:rFonts w:ascii="Consolas" w:hAnsi="Consolas"/>
                <w:b w:val="0"/>
                <w:i w:val="0"/>
                <w:sz w:val="17"/>
              </w:rPr>
              <w:t>scripts/manual-screenshots.cjs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r>
        <w:tc>
          <w:tcPr>
            <w:tcW w:type="dxa" w:w="2493"/>
          </w:tcPr>
          <w:p>
            <w:r>
              <w:rPr>
                <w:b w:val="0"/>
                <w:sz w:val="17"/>
              </w:rPr>
            </w:r>
            <w:r>
              <w:rPr>
                <w:b w:val="0"/>
                <w:i w:val="0"/>
                <w:sz w:val="17"/>
              </w:rPr>
              <w:t>12.2 / directive s.17 The RBM return</w:t>
            </w:r>
          </w:p>
        </w:tc>
        <w:tc>
          <w:tcPr>
            <w:tcW w:type="dxa" w:w="2493"/>
          </w:tcPr>
          <w:p>
            <w:r>
              <w:rPr>
                <w:b w:val="0"/>
                <w:sz w:val="17"/>
              </w:rPr>
            </w:r>
            <w:r>
              <w:rPr>
                <w:b w:val="0"/>
                <w:i w:val="0"/>
                <w:sz w:val="17"/>
              </w:rPr>
              <w:t>The classification and provisioning return to the Reserve Bank, mapped line for line to the prescribed form</w:t>
            </w:r>
          </w:p>
        </w:tc>
        <w:tc>
          <w:tcPr>
            <w:tcW w:type="dxa" w:w="2493"/>
          </w:tcPr>
          <w:p>
            <w:r>
              <w:rPr>
                <w:b w:val="0"/>
                <w:sz w:val="17"/>
              </w:rPr>
            </w:r>
            <w:r>
              <w:rPr>
                <w:b w:val="0"/>
                <w:i w:val="0"/>
                <w:sz w:val="17"/>
              </w:rPr>
              <w:t>Provisional layout built and filled from the system in the directive's own order: A the facilities by class and term under the directive's day bands (90/180/360 short-term; 180/360/720 medium and long), B the minimum provision per class against the IFRS 9 allowance with the higher of the two, C interest in suspense, D restructured facilities (awaiting the Reschedule Report), E the security on the register; on the screen and as CSV, every output marked provisional. On the August 2026 book: 135 facilities, K23.32bn, NPL 31.98 percent, minimum provision K3.41bn against the IFRS 9 allowance of K8.94bn, suspense K114.3m. The lines are re-ordered and re-worded to the prescribed form when MAIIC Risk supplies it; the figures stay. The older RBM Classification report, the provision comparison and the arrears ageing now classify by the same bands by term and rates (they had used one 90/180/365 ladder at 1 percent on pass and special mention), and a test proves the report and the return agree at every band edge on both terms (workbook 4 finding F3, closed)</w:t>
            </w:r>
          </w:p>
        </w:tc>
        <w:tc>
          <w:tcPr>
            <w:tcW w:type="dxa" w:w="2493"/>
          </w:tcPr>
          <w:p>
            <w:r>
              <w:rPr>
                <w:b w:val="0"/>
                <w:sz w:val="17"/>
              </w:rPr>
            </w:r>
            <w:r>
              <w:rPr>
                <w:rFonts w:ascii="Consolas" w:hAnsi="Consolas"/>
                <w:b w:val="0"/>
                <w:i w:val="0"/>
                <w:sz w:val="17"/>
              </w:rPr>
              <w:t>RbmReturnService</w:t>
            </w:r>
            <w:r>
              <w:rPr>
                <w:b w:val="0"/>
                <w:i w:val="0"/>
                <w:sz w:val="17"/>
              </w:rPr>
              <w:t xml:space="preserve">, </w:t>
            </w:r>
            <w:r>
              <w:rPr>
                <w:rFonts w:ascii="Consolas" w:hAnsi="Consolas"/>
                <w:b w:val="0"/>
                <w:i w:val="0"/>
                <w:sz w:val="17"/>
              </w:rPr>
              <w:t>RbmReturnController</w:t>
            </w:r>
            <w:r>
              <w:rPr>
                <w:b w:val="0"/>
                <w:i w:val="0"/>
                <w:sz w:val="17"/>
              </w:rPr>
              <w:t xml:space="preserve">, Risk &amp; Regulatory / RBM Return (provisional), </w:t>
            </w:r>
            <w:r>
              <w:rPr>
                <w:rFonts w:ascii="Consolas" w:hAnsi="Consolas"/>
                <w:b w:val="0"/>
                <w:i w:val="0"/>
                <w:sz w:val="17"/>
              </w:rPr>
              <w:t>Ifrs9ReportsController::rbmClassCase</w:t>
            </w:r>
            <w:r>
              <w:rPr>
                <w:b w:val="0"/>
                <w:i w:val="0"/>
                <w:sz w:val="17"/>
              </w:rPr>
              <w:t>, 3 tests; workbook 4 row 17 and findings F2 (open), F3 (closed)</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31 schedules generated and approved under the bootstrap label; 31 EIRs solved; 12 locked; 19 blocked at the fee gate because the rulebook is unapproved</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23.5%, LGD 60.25%</w:t>
            </w:r>
          </w:p>
        </w:tc>
      </w:tr>
      <w:tr>
        <w:tc>
          <w:tcPr>
            <w:tcW w:type="dxa" w:w="4986"/>
          </w:tcPr>
          <w:p>
            <w:r>
              <w:rPr>
                <w:b w:val="0"/>
                <w:sz w:val="17"/>
              </w:rPr>
            </w:r>
            <w:r>
              <w:rPr>
                <w:b w:val="0"/>
                <w:i w:val="0"/>
                <w:sz w:val="17"/>
              </w:rPr>
              <w:t>ECL, August 2026</w:t>
            </w:r>
          </w:p>
        </w:tc>
        <w:tc>
          <w:tcPr>
            <w:tcW w:type="dxa" w:w="4986"/>
          </w:tcPr>
          <w:p>
            <w:r>
              <w:rPr>
                <w:b w:val="0"/>
                <w:sz w:val="17"/>
              </w:rPr>
            </w:r>
            <w:r>
              <w:rPr>
                <w:b w:val="0"/>
                <w:i w:val="0"/>
                <w:sz w:val="17"/>
              </w:rPr>
              <w:t>8.33bn on 23.32bn gross: Stage 1 1.58bn, Stage 2 1.82bn, Stage 3 4.93bn</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base 9.63bn, upside 9.00bn, downside 11.10bn, severe 12.99bn, weighted 10.24bn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The best applied fit on a book-level proxy (the PLR to the Stage 3 share, lag 9) approved under the label; adjustments of -8.7% upside, +21.8% downside, +34.9% severe; the ECL on the post-FLI PD 8.94bn</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base 8.94bn, upside 8.31bn (-7.1%), downside 10.22bn (+14.3%), severe 11.86bn (+32.7%)</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RBM return in the prescribed form</w:t>
            </w:r>
          </w:p>
        </w:tc>
        <w:tc>
          <w:tcPr>
            <w:tcW w:type="dxa" w:w="3324"/>
          </w:tcPr>
          <w:p>
            <w:r>
              <w:rPr>
                <w:b w:val="0"/>
                <w:sz w:val="17"/>
              </w:rPr>
            </w:r>
            <w:r>
              <w:rPr>
                <w:b w:val="0"/>
                <w:i w:val="0"/>
                <w:sz w:val="17"/>
              </w:rPr>
              <w:t>12.2, directive s.17</w:t>
            </w:r>
          </w:p>
        </w:tc>
        <w:tc>
          <w:tcPr>
            <w:tcW w:type="dxa" w:w="3324"/>
          </w:tcPr>
          <w:p>
            <w:r>
              <w:rPr>
                <w:b w:val="0"/>
                <w:sz w:val="17"/>
              </w:rPr>
            </w:r>
            <w:r>
              <w:rPr>
                <w:b w:val="0"/>
                <w:i w:val="0"/>
                <w:sz w:val="17"/>
              </w:rPr>
              <w:t>MAIIC Risk's current form (the Excel or PDF sent to the Bank). The provisional return fills every line in the directive's order; when the form arrives its lines are re-ordered and re-worded to it line for line, the figures unchanged (workbook 4, finding F2)</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tests/Feature/Rbm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cache prefix is keyed by </w:t>
      </w:r>
      <w:r>
        <w:rPr>
          <w:rFonts w:ascii="Consolas" w:hAnsi="Consolas"/>
          <w:b w:val="0"/>
          <w:i w:val="0"/>
          <w:sz w:val="18"/>
        </w:rPr>
        <w:t>APP_ENV</w:t>
      </w:r>
      <w:r>
        <w:rPr>
          <w:b w:val="0"/>
          <w:i w:val="0"/>
        </w:rPr>
        <w:t xml:space="preserve"> so the three databases never share a permission cache. The test run above: 308 passed, 24 skipped. The dark-mode proof: serve the bootstrap database locally, then </w:t>
      </w:r>
      <w:r>
        <w:rPr>
          <w:rFonts w:ascii="Consolas" w:hAnsi="Consolas"/>
          <w:b w:val="0"/>
          <w:i w:val="0"/>
          <w:sz w:val="18"/>
        </w:rPr>
        <w:t>php artisan --env=bootstrap manual:screenshots --base-url=http://127.0.0.1:8010 --theme=dark --out=&lt;folder&gt;</w:t>
      </w:r>
      <w:r>
        <w:rPr>
          <w:b w:val="0"/>
          <w:i w:val="0"/>
        </w:rPr>
        <w:t xml:space="preserve"> (the capture user's saved theme governs after login, so set it to dark for the run).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app/Services/Rbm/RbmReturnService.php</w:t>
      </w:r>
      <w:r>
        <w:rPr>
          <w:b w:val="0"/>
          <w:i w:val="0"/>
        </w:rPr>
        <w:t xml:space="preserve">, </w:t>
      </w:r>
      <w:r>
        <w:rPr>
          <w:rFonts w:ascii="Consolas" w:hAnsi="Consolas"/>
          <w:b w:val="0"/>
          <w:i w:val="0"/>
          <w:sz w:val="18"/>
        </w:rPr>
        <w:t>app/Http/Controllers/RbmReturnController.php</w:t>
      </w:r>
      <w:r>
        <w:rPr>
          <w:b w:val="0"/>
          <w:i w:val="0"/>
        </w:rPr>
        <w:t xml:space="preserve">, </w:t>
      </w:r>
      <w:r>
        <w:rPr>
          <w:rFonts w:ascii="Consolas" w:hAnsi="Consolas"/>
          <w:b w:val="0"/>
          <w:i w:val="0"/>
          <w:sz w:val="18"/>
        </w:rPr>
        <w:t>resources/js/Pages/Reports/RbmReturn.vue</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