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pPr>
        <w:pStyle w:val="Heading2"/>
      </w:pPr>
      <w:r>
        <w:t>1. What this specification does</w:t>
      </w:r>
    </w:p>
    <w:p>
      <w:pPr>
        <w:spacing w:after="120"/>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pPr>
      <w:r>
        <w:rPr>
          <w:b w:val="0"/>
          <w:i w:val="0"/>
        </w:rPr>
        <w:t>Two sets of rules are defined:</w:t>
      </w:r>
    </w:p>
    <w:p>
      <w:pPr>
        <w:pStyle w:val="ListBullet"/>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pPr>
      <w:r>
        <w:rPr>
          <w:b/>
          <w:i w:val="0"/>
        </w:rPr>
        <w:t>Matured loans with an unpaid balance are counted from their maturity</w:t>
      </w:r>
      <w:r>
        <w:rPr>
          <w:b w:val="0"/>
          <w:i w:val="0"/>
        </w:rPr>
        <w:t xml:space="preserve"> (decided by Edward Mazibuko, 15 October 2026). Bucket ageing takes E-Banker's report as it stands, and that report leaves the arrears empty on many matured loans: on the system's data, the Mega Farm bullet loans that matured in 2025 read 0 days on about 47 billion kwacha. The December workbooks had them past due because their own loan book had the arrears filled in. The 31 December 2025 policy therefore counts a matured loan still owing from its maturity date when that is longer (setting 5), so the system reproduces the December result instead of reading those loans as current. On the bootstrap of 15 October 2026, leaving this count out would have taken the Mega Farm provision at September 2026 from about K44.7 billion to K0.09 billion. This is not a departure from the directive, which classifies by how long the amount has been overdue.</w:t>
      </w:r>
    </w:p>
    <w:p>
      <w:pPr>
        <w:pStyle w:val="ListNumber"/>
      </w:pPr>
      <w:r>
        <w:rPr>
          <w:b/>
          <w:i w:val="0"/>
        </w:rPr>
        <w:t>The missed-instalment default is not applied</w:t>
      </w:r>
      <w:r>
        <w:rPr>
          <w:b w:val="0"/>
          <w:i w:val="0"/>
        </w:rPr>
        <w:t>, although MAIIC's 2025 financial statements (note 22.8.1) describe it as the policy.</w:t>
      </w:r>
    </w:p>
    <w:p>
      <w:pPr>
        <w:pStyle w:val="ListNumber"/>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pPr>
      <w:r>
        <w:rPr>
          <w:b/>
          <w:i w:val="0"/>
        </w:rPr>
        <w:t>A loan leaves its stage on its first good month-end</w:t>
      </w:r>
      <w:r>
        <w:rPr>
          <w:b w:val="0"/>
          <w:i w:val="0"/>
        </w:rPr>
        <w:t>, with no probation.</w:t>
      </w:r>
    </w:p>
    <w:p>
      <w:pPr>
        <w:spacing w:after="120"/>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The December workbooks' loan book showed matured loans as past due; E-Banker's report leaves their arrears empty, so without the count they read current (section 2.3, item 2; decided 15 October 2026)</w:t>
            </w:r>
          </w:p>
        </w:tc>
      </w:tr>
      <w:t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pPr>
      <w:r>
        <w:rPr>
          <w:b w:val="0"/>
          <w:i w:val="0"/>
        </w:rPr>
        <w:t>When MAIIC decides to adopt it:</w:t>
      </w:r>
    </w:p>
    <w:p>
      <w:pPr>
        <w:pStyle w:val="ListNumber"/>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pPr>
      <w:r>
        <w:rPr>
          <w:b w:val="0"/>
          <w:i w:val="0"/>
        </w:rPr>
        <w:t>A second person approves it.</w:t>
      </w:r>
    </w:p>
    <w:p>
      <w:pPr>
        <w:pStyle w:val="ListNumber"/>
      </w:pPr>
      <w:r>
        <w:rPr>
          <w:b w:val="0"/>
          <w:i w:val="0"/>
        </w:rPr>
        <w:t>From that month the booked staging follows the new rules. Locked months are never restated. Under IAS 8 the change is a change in accounting estimate, applied prospectively.</w:t>
      </w:r>
    </w:p>
    <w:p>
      <w:pPr>
        <w:pStyle w:val="ListNumber"/>
      </w:pPr>
      <w:r>
        <w:rPr>
          <w:b w:val="0"/>
          <w:i w:val="0"/>
        </w:rPr>
        <w:t>The comparison run for the first month under the new policy is kept as the record of its effect.</w:t>
      </w:r>
    </w:p>
    <w:p>
      <w:pPr>
        <w:pStyle w:val="Heading2"/>
      </w:pPr>
      <w:r>
        <w:t>4. The staging comparison run</w:t>
      </w:r>
    </w:p>
    <w:p>
      <w:pPr>
        <w:spacing w:after="120"/>
      </w:pPr>
      <w:r>
        <w:rPr>
          <w:b w:val="0"/>
          <w:i w:val="0"/>
        </w:rPr>
        <w:t xml:space="preserve">The comparison run answers one question: </w:t>
      </w:r>
      <w:r>
        <w:rPr>
          <w:b w:val="0"/>
          <w:i/>
        </w:rPr>
        <w:t>what would this month's stages and ECL be under another set of rules, and why?</w:t>
      </w:r>
    </w:p>
    <w:p>
      <w:pPr>
        <w:spacing w:after="120"/>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pPr>
      <w:r>
        <w:rPr>
          <w:b/>
          <w:i w:val="0"/>
        </w:rPr>
        <w:t>How the figures are worked out</w:t>
      </w:r>
      <w:r>
        <w:rPr>
          <w:b w:val="0"/>
          <w:i w:val="0"/>
        </w:rPr>
        <w:t xml:space="preserve"> (decided by Edward Mazibuko, 15 October 2026):</w:t>
      </w:r>
    </w:p>
    <w:p>
      <w:pPr>
        <w:pStyle w:val="ListBullet"/>
      </w:pPr>
      <w:r>
        <w:rPr>
          <w:b/>
          <w:i w:val="0"/>
        </w:rPr>
        <w:t>The ECL effect is an estimate.</w:t>
      </w:r>
      <w:r>
        <w:rPr>
          <w:b w:val="0"/>
          <w:i w:val="0"/>
        </w:rPr>
        <w:t xml:space="preserve"> The booked ECL exists only at the booked stage, so a loan that moves is given the booked coverage of its new stage: the ECL over EAD of the loans booked in that stage in the same portfolio (or in the whole book, where the portfolio has none), applied to the loan's own EAD. A loan that does not move keeps its booked ECL. This shows the direction and size of the change; it is not a full ECL run, and nothing booked is affected by it.</w:t>
      </w:r>
    </w:p>
    <w:p>
      <w:pPr>
        <w:pStyle w:val="ListBullet"/>
      </w:pPr>
      <w:r>
        <w:rPr>
          <w:b/>
          <w:i w:val="0"/>
        </w:rPr>
        <w:t>The cure reads the earlier months as booked.</w:t>
      </w:r>
      <w:r>
        <w:rPr>
          <w:b w:val="0"/>
          <w:i w:val="0"/>
        </w:rPr>
        <w:t xml:space="preserve"> The comparison answers what would change if the policy were adopted from the month compared, and months before adoption stay as booked.</w:t>
      </w:r>
    </w:p>
    <w:p>
      <w:pPr>
        <w:pStyle w:val="ListBullet"/>
      </w:pPr>
      <w:r>
        <w:rPr>
          <w:b/>
          <w:i w:val="0"/>
        </w:rPr>
        <w:t>The day counts are exact.</w:t>
      </w:r>
      <w:r>
        <w:rPr>
          <w:b w:val="0"/>
          <w:i w:val="0"/>
        </w:rPr>
        <w:t xml:space="preserve"> The build keeps each loan's component counts (oldest overdue instalment and bucket ageing, each as reported and recounted, and the days since maturity), so any mix of settings is counted exactly, and the reason for a difference is never given to the wrong setting.</w:t>
      </w:r>
    </w:p>
    <w:p>
      <w:pPr>
        <w:spacing w:after="120"/>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pPr>
      <w:r>
        <w:rPr>
          <w:b w:val="0"/>
          <w:i w:val="0"/>
        </w:rPr>
        <w:t>The RBM return classifies facilities under the directive's own bands: by term, on the count of days from the oldest overdue instalment. It must not change when the staging policy changes. So:</w:t>
      </w:r>
    </w:p>
    <w:p>
      <w:pPr>
        <w:pStyle w:val="ListBullet"/>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c>
          <w:tcPr>
            <w:tcW w:type="dxa" w:w="3324"/>
          </w:tcPr>
          <w:p>
            <w:r>
              <w:rPr>
                <w:b w:val="0"/>
                <w:sz w:val="17"/>
              </w:rPr>
            </w:r>
            <w:r>
              <w:rPr>
                <w:b w:val="0"/>
                <w:i w:val="0"/>
                <w:sz w:val="17"/>
              </w:rPr>
              <w:t>Golden numbers of the bootstrap</w:t>
            </w:r>
          </w:p>
        </w:tc>
        <w:tc>
          <w:tcPr>
            <w:tcW w:type="dxa" w:w="3324"/>
          </w:tcPr>
          <w:p>
            <w:r>
              <w:rPr>
                <w:b w:val="0"/>
                <w:sz w:val="17"/>
              </w:rPr>
            </w:r>
            <w:r>
              <w:rPr>
                <w:b w:val="0"/>
                <w:i w:val="0"/>
                <w:sz w:val="17"/>
              </w:rPr>
              <w:t>Yes, in part</w:t>
            </w:r>
          </w:p>
        </w:tc>
        <w:tc>
          <w:tcPr>
            <w:tcW w:type="dxa" w:w="3324"/>
          </w:tcPr>
          <w:p>
            <w:r>
              <w:rPr>
                <w:b w:val="0"/>
                <w:sz w:val="17"/>
              </w:rPr>
            </w:r>
            <w:r>
              <w:rPr>
                <w:b w:val="0"/>
                <w:i w:val="0"/>
                <w:sz w:val="17"/>
              </w:rPr>
              <w:t>The verify's 98 checks include the ECL by stage, the discounted allowance, the Mega Farm provision and the EIR revenue, which follow the stage; the ledger, take-on, GL and RBM ties do not. A change of staging policy moves the former, so the golden numbers are set again from the bootstrap of the merged phase once the policy is accepted</w:t>
            </w:r>
          </w:p>
        </w:tc>
      </w:tr>
    </w:tbl>
    <w:p/>
    <w:p>
      <w:pPr>
        <w:pStyle w:val="Heading2"/>
      </w:pPr>
      <w:r>
        <w:t>7. Data and code</w:t>
      </w:r>
    </w:p>
    <w:p>
      <w:pPr>
        <w:spacing w:after="120"/>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c>
          <w:tcPr>
            <w:tcW w:type="dxa" w:w="1994"/>
          </w:tcPr>
          <w:p>
            <w:r>
              <w:rPr>
                <w:b w:val="0"/>
                <w:sz w:val="17"/>
              </w:rPr>
            </w:r>
            <w:r>
              <w:rPr>
                <w:b w:val="0"/>
                <w:i w:val="0"/>
                <w:sz w:val="17"/>
              </w:rPr>
              <w:t>Forward-looking month-end sign-off</w:t>
            </w:r>
          </w:p>
        </w:tc>
        <w:tc>
          <w:tcPr>
            <w:tcW w:type="dxa" w:w="1994"/>
          </w:tcPr>
          <w:p>
            <w:r>
              <w:rPr>
                <w:b w:val="0"/>
                <w:sz w:val="17"/>
              </w:rPr>
            </w:r>
            <w:r>
              <w:rPr>
                <w:b w:val="0"/>
                <w:i w:val="0"/>
                <w:sz w:val="17"/>
              </w:rPr>
              <w:t>Signing off a month's forward-looking record (route, scenarios, discounted ECL)</w:t>
            </w:r>
          </w:p>
        </w:tc>
        <w:tc>
          <w:tcPr>
            <w:tcW w:type="dxa" w:w="1994"/>
          </w:tcPr>
          <w:p>
            <w:r>
              <w:rPr>
                <w:b w:val="0"/>
                <w:sz w:val="17"/>
              </w:rPr>
            </w:r>
            <w:r>
              <w:rPr>
                <w:b w:val="0"/>
                <w:i w:val="0"/>
                <w:sz w:val="17"/>
              </w:rPr>
              <w:t>Sign off; the person who recorded the month cannot sign it;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Only a commentary where the movement is outside tolerance (already required)</w:t>
            </w:r>
          </w:p>
        </w:tc>
      </w:tr>
      <w:t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pPr>
      <w:r>
        <w:rPr>
          <w:b w:val="0"/>
          <w:i w:val="0"/>
        </w:rPr>
        <w:t>An auditor looking at a month a year later needs to know exactly what that month's figures were computed with: which settings, rules, models, data and code. Today that can only be partly reconstructed:</w:t>
      </w:r>
    </w:p>
    <w:p>
      <w:pPr>
        <w:pStyle w:val="ListBullet"/>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3"/>
      </w:pPr>
      <w:r>
        <w:t>8.9 UAT mode: maker-checker relaxed for administrators, safely</w:t>
      </w:r>
    </w:p>
    <w:p>
      <w:pPr>
        <w:spacing w:after="120"/>
      </w:pPr>
      <w:r>
        <w:rPr>
          <w:b w:val="0"/>
          <w:i w:val="0"/>
        </w:rPr>
        <w:t>During user acceptance testing one administrator needs to move through the workflows without waiting for a second person each time, and at handover the two-person rule must be fully back on. The system already has the switch, but only part of the system honours it and nothing makes it safe to use.</w:t>
      </w:r>
    </w:p>
    <w:p>
      <w:pPr>
        <w:spacing w:after="120"/>
      </w:pPr>
      <w:r>
        <w:rPr>
          <w:b/>
          <w:i w:val="0"/>
        </w:rPr>
        <w:t>What exists today</w:t>
      </w:r>
      <w:r>
        <w:rPr>
          <w:b w:val="0"/>
          <w:i w:val="0"/>
        </w:rPr>
        <w:t xml:space="preserve"> (read from the code on 15 October 2026). The governed setting </w:t>
      </w:r>
      <w:r>
        <w:rPr>
          <w:rFonts w:ascii="Consolas" w:hAnsi="Consolas"/>
          <w:b w:val="0"/>
          <w:i w:val="0"/>
          <w:sz w:val="18"/>
        </w:rPr>
        <w:t>maker_checker_admin_override</w:t>
      </w:r>
      <w:r>
        <w:rPr>
          <w:b w:val="0"/>
          <w:i w:val="0"/>
        </w:rPr>
        <w:t xml:space="preserve"> (</w:t>
      </w:r>
      <w:r>
        <w:rPr>
          <w:b w:val="0"/>
          <w:i/>
        </w:rPr>
        <w:t>Not allowed</w:t>
      </w:r>
      <w:r>
        <w:rPr>
          <w:b w:val="0"/>
          <w:i w:val="0"/>
        </w:rPr>
        <w:t xml:space="preserve">, the default, or </w:t>
      </w:r>
      <w:r>
        <w:rPr>
          <w:b w:val="0"/>
          <w:i/>
        </w:rPr>
        <w:t>Allowed for administrators</w:t>
      </w:r>
      <w:r>
        <w:rPr>
          <w:b w:val="0"/>
          <w:i w:val="0"/>
        </w:rPr>
        <w:t>) lets a user with the admin role approve their own proposal. Each workflow carries its own self-approval check, worded and coded separately: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Honours the override today (6)</w:t>
            </w:r>
          </w:p>
        </w:tc>
        <w:tc>
          <w:tcPr>
            <w:tcW w:type="dxa" w:w="3324"/>
            <w:shd w:val="clear" w:color="auto" w:fill="1B2A41"/>
          </w:tcPr>
          <w:p>
            <w:r>
              <w:rPr>
                <w:b/>
                <w:color w:val="FFFFFF"/>
                <w:sz w:val="17"/>
              </w:rPr>
            </w:r>
            <w:r>
              <w:rPr>
                <w:b/>
                <w:i w:val="0"/>
                <w:color w:val="FFFFFF"/>
                <w:sz w:val="17"/>
              </w:rPr>
              <w:t>Refuses a self-approval whatever the setting (14)</w:t>
            </w:r>
          </w:p>
        </w:tc>
        <w:tc>
          <w:tcPr>
            <w:tcW w:type="dxa" w:w="3324"/>
            <w:shd w:val="clear" w:color="auto" w:fill="1B2A41"/>
          </w:tcPr>
          <w:p>
            <w:r>
              <w:rPr>
                <w:b/>
                <w:color w:val="FFFFFF"/>
                <w:sz w:val="17"/>
              </w:rPr>
            </w:r>
            <w:r>
              <w:rPr>
                <w:b/>
                <w:i w:val="0"/>
                <w:color w:val="FFFFFF"/>
                <w:sz w:val="17"/>
              </w:rPr>
              <w:t>No maker-checker yet (2)</w:t>
            </w:r>
          </w:p>
        </w:tc>
      </w:tr>
      <w:tr>
        <w:tc>
          <w:tcPr>
            <w:tcW w:type="dxa" w:w="3324"/>
          </w:tcPr>
          <w:p>
            <w:r>
              <w:rPr>
                <w:b w:val="0"/>
                <w:sz w:val="17"/>
              </w:rPr>
            </w:r>
            <w:r>
              <w:rPr>
                <w:b w:val="0"/>
                <w:i w:val="0"/>
                <w:sz w:val="17"/>
              </w:rPr>
              <w:t>Governance Centre settings; EIR lock; fee classification review; SICR triggers; rate resets; restructure register</w:t>
            </w:r>
          </w:p>
        </w:tc>
        <w:tc>
          <w:tcPr>
            <w:tcW w:type="dxa" w:w="3324"/>
          </w:tcPr>
          <w:p>
            <w:r>
              <w:rPr>
                <w:b w:val="0"/>
                <w:sz w:val="17"/>
              </w:rPr>
            </w:r>
            <w:r>
              <w:rPr>
                <w:b w:val="0"/>
                <w:i w:val="0"/>
                <w:sz w:val="17"/>
              </w:rPr>
              <w:t>Staging thresholds; EIR reopen; period unlock; write-offs; take-on build; loan book build (approve and reject); schedule approval; compliance audit sign-off; scenario sets; forward-looking overlays; forward-looking fits; external forward-looking models; forward-looking month-end sign-off; the legacy regression screen</w:t>
            </w:r>
          </w:p>
        </w:tc>
        <w:tc>
          <w:tcPr>
            <w:tcW w:type="dxa" w:w="3324"/>
          </w:tcPr>
          <w:p>
            <w:r>
              <w:rPr>
                <w:b w:val="0"/>
                <w:sz w:val="17"/>
              </w:rPr>
            </w:r>
            <w:r>
              <w:rPr>
                <w:b w:val="0"/>
                <w:i w:val="0"/>
                <w:sz w:val="17"/>
              </w:rPr>
              <w:t>Fee rulebook (phase 3); macro data overrides (phase 4)</w:t>
            </w:r>
          </w:p>
        </w:tc>
      </w:tr>
    </w:tbl>
    <w:p/>
    <w:p>
      <w:pPr>
        <w:spacing w:after="120"/>
      </w:pPr>
      <w:r>
        <w:rPr>
          <w:b w:val="0"/>
          <w:i w:val="0"/>
        </w:rPr>
        <w:t>The bootstrap approves its own steps under the label "System Bootstrap (automated data-readiness, not a MAIIC approval)", so checking the month-end results needs no human approvals; the override matters only for testing the screens and workflows themselves. The bootstrap label stays as it is and is not the override.</w:t>
      </w:r>
    </w:p>
    <w:p>
      <w:pPr>
        <w:spacing w:after="120"/>
      </w:pPr>
      <w:r>
        <w:rPr>
          <w:b/>
          <w:i w:val="0"/>
        </w:rPr>
        <w:t>What is missing.</w:t>
      </w:r>
      <w:r>
        <w:rPr>
          <w:b w:val="0"/>
          <w:i w:val="0"/>
        </w:rPr>
        <w:t xml:space="preserve"> Switching the override on is itself a governed change and needs a second person the first time. Nothing stops it being left on in production. A self-approval is not marked as one. Nothing on screen shows that the two-person rule is relaxed. And the installation guide sets </w:t>
      </w:r>
      <w:r>
        <w:rPr>
          <w:rFonts w:ascii="Consolas" w:hAnsi="Consolas"/>
          <w:b w:val="0"/>
          <w:i w:val="0"/>
          <w:sz w:val="18"/>
        </w:rPr>
        <w:t>APP_ENV=production</w:t>
      </w:r>
      <w:r>
        <w:rPr>
          <w:b w:val="0"/>
          <w:i w:val="0"/>
        </w:rPr>
        <w:t xml:space="preserve"> on MAIIC's server, which is where UAT is run.</w:t>
      </w:r>
    </w:p>
    <w:p>
      <w:pPr>
        <w:spacing w:after="120"/>
      </w:pPr>
      <w:r>
        <w:rPr>
          <w:b/>
          <w:i w:val="0"/>
        </w:rPr>
        <w:t>What UAT mode adds: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Piece</w:t>
            </w:r>
          </w:p>
        </w:tc>
        <w:tc>
          <w:tcPr>
            <w:tcW w:type="dxa" w:w="3324"/>
            <w:shd w:val="clear" w:color="auto" w:fill="1B2A41"/>
          </w:tcPr>
          <w:p>
            <w:r>
              <w:rPr>
                <w:b/>
                <w:color w:val="FFFFFF"/>
                <w:sz w:val="17"/>
              </w:rPr>
            </w:r>
            <w:r>
              <w:rPr>
                <w:b/>
                <w:i w:val="0"/>
                <w:color w:val="FFFFFF"/>
                <w:sz w:val="17"/>
              </w:rPr>
              <w:t>Why</w:t>
            </w:r>
          </w:p>
        </w:tc>
      </w:tr>
      <w:tr>
        <w:tc>
          <w:tcPr>
            <w:tcW w:type="dxa" w:w="3324"/>
          </w:tcPr>
          <w:p>
            <w:r>
              <w:rPr>
                <w:b w:val="0"/>
                <w:sz w:val="17"/>
              </w:rPr>
            </w:r>
            <w:r>
              <w:rPr>
                <w:b w:val="0"/>
                <w:i w:val="0"/>
                <w:sz w:val="17"/>
              </w:rPr>
              <w:t>1</w:t>
            </w:r>
          </w:p>
        </w:tc>
        <w:tc>
          <w:tcPr>
            <w:tcW w:type="dxa" w:w="3324"/>
          </w:tcPr>
          <w:p>
            <w:r>
              <w:rPr>
                <w:b w:val="0"/>
                <w:sz w:val="17"/>
              </w:rPr>
            </w:r>
            <w:r>
              <w:rPr>
                <w:b/>
                <w:i w:val="0"/>
                <w:sz w:val="17"/>
              </w:rPr>
              <w:t>One maker-checker check for every workflow.</w:t>
            </w:r>
            <w:r>
              <w:rPr>
                <w:b w:val="0"/>
                <w:i w:val="0"/>
                <w:sz w:val="17"/>
              </w:rPr>
              <w:t xml:space="preserve"> The 20 checks above call one shared check, which decides whether a self-approval is allowed. Each keeps its own message. The fee rulebook and the macro data overrides use the same check when they gain maker-checker (phases 3 and 4)</w:t>
            </w:r>
          </w:p>
        </w:tc>
        <w:tc>
          <w:tcPr>
            <w:tcW w:type="dxa" w:w="3324"/>
          </w:tcPr>
          <w:p>
            <w:r>
              <w:rPr>
                <w:b w:val="0"/>
                <w:sz w:val="17"/>
              </w:rPr>
            </w:r>
            <w:r>
              <w:rPr>
                <w:b w:val="0"/>
                <w:i w:val="0"/>
                <w:sz w:val="17"/>
              </w:rPr>
              <w:t>Today 6 of 20 honour the override, each in its own way</w:t>
            </w:r>
          </w:p>
        </w:tc>
      </w:tr>
      <w:tr>
        <w:tc>
          <w:tcPr>
            <w:tcW w:type="dxa" w:w="3324"/>
          </w:tcPr>
          <w:p>
            <w:r>
              <w:rPr>
                <w:b w:val="0"/>
                <w:sz w:val="17"/>
              </w:rPr>
            </w:r>
            <w:r>
              <w:rPr>
                <w:b w:val="0"/>
                <w:i w:val="0"/>
                <w:sz w:val="17"/>
              </w:rPr>
              <w:t>2</w:t>
            </w:r>
          </w:p>
        </w:tc>
        <w:tc>
          <w:tcPr>
            <w:tcW w:type="dxa" w:w="3324"/>
          </w:tcPr>
          <w:p>
            <w:r>
              <w:rPr>
                <w:b w:val="0"/>
                <w:sz w:val="17"/>
              </w:rPr>
            </w:r>
            <w:r>
              <w:rPr>
                <w:b/>
                <w:i w:val="0"/>
                <w:sz w:val="17"/>
              </w:rPr>
              <w:t>A server guard.</w:t>
            </w:r>
            <w:r>
              <w:rPr>
                <w:b w:val="0"/>
                <w:i w:val="0"/>
                <w:sz w:val="17"/>
              </w:rPr>
              <w:t xml:space="preserve"> The override can work only when the server's environment file declares a non-production environment (</w:t>
            </w:r>
            <w:r>
              <w:rPr>
                <w:rFonts w:ascii="Consolas" w:hAnsi="Consolas"/>
                <w:b w:val="0"/>
                <w:i w:val="0"/>
                <w:sz w:val="17"/>
              </w:rPr>
              <w:t>APP_ENV</w:t>
            </w:r>
            <w:r>
              <w:rPr>
                <w:b w:val="0"/>
                <w:i w:val="0"/>
                <w:sz w:val="17"/>
              </w:rPr>
              <w:t xml:space="preserve"> other than </w:t>
            </w:r>
            <w:r>
              <w:rPr>
                <w:rFonts w:ascii="Consolas" w:hAnsi="Consolas"/>
                <w:b w:val="0"/>
                <w:i w:val="0"/>
                <w:sz w:val="17"/>
              </w:rPr>
              <w:t>production</w:t>
            </w:r>
            <w:r>
              <w:rPr>
                <w:b w:val="0"/>
                <w:i w:val="0"/>
                <w:sz w:val="17"/>
              </w:rPr>
              <w:t xml:space="preserve">, for example </w:t>
            </w:r>
            <w:r>
              <w:rPr>
                <w:rFonts w:ascii="Consolas" w:hAnsi="Consolas"/>
                <w:b w:val="0"/>
                <w:i w:val="0"/>
                <w:sz w:val="17"/>
              </w:rPr>
              <w:t>uat</w:t>
            </w:r>
            <w:r>
              <w:rPr>
                <w:b w:val="0"/>
                <w:i w:val="0"/>
                <w:sz w:val="17"/>
              </w:rPr>
              <w:t xml:space="preserve">) </w:t>
            </w:r>
            <w:r>
              <w:rPr>
                <w:b/>
                <w:i w:val="0"/>
                <w:sz w:val="17"/>
              </w:rPr>
              <w:t>and</w:t>
            </w:r>
            <w:r>
              <w:rPr>
                <w:b w:val="0"/>
                <w:i w:val="0"/>
                <w:sz w:val="17"/>
              </w:rPr>
              <w:t xml:space="preserve"> the governed setting allows it. Under a production environment a self-approval is refused whatever the setting says, and </w:t>
            </w:r>
            <w:r>
              <w:rPr>
                <w:b w:val="0"/>
                <w:i/>
                <w:sz w:val="17"/>
              </w:rPr>
              <w:t>Allowed for administrators</w:t>
            </w:r>
            <w:r>
              <w:rPr>
                <w:b w:val="0"/>
                <w:i w:val="0"/>
                <w:sz w:val="17"/>
              </w:rPr>
              <w:t xml:space="preserve"> cannot be proposed or approved there. </w:t>
            </w:r>
            <w:r>
              <w:rPr>
                <w:b/>
                <w:i w:val="0"/>
                <w:sz w:val="17"/>
              </w:rPr>
              <w:t>During UAT, MAIIC's server runs with `APP_ENV=uat`; at handover MAIIC ICT sets `APP_ENV=production`</w:t>
            </w:r>
            <w:r>
              <w:rPr>
                <w:b w:val="0"/>
                <w:i w:val="0"/>
                <w:sz w:val="17"/>
              </w:rPr>
              <w:t xml:space="preserve"> as the installation guide says (decision S11)</w:t>
            </w:r>
          </w:p>
        </w:tc>
        <w:tc>
          <w:tcPr>
            <w:tcW w:type="dxa" w:w="3324"/>
          </w:tcPr>
          <w:p>
            <w:r>
              <w:rPr>
                <w:b w:val="0"/>
                <w:sz w:val="17"/>
              </w:rPr>
            </w:r>
            <w:r>
              <w:rPr>
                <w:b w:val="0"/>
                <w:i w:val="0"/>
                <w:sz w:val="17"/>
              </w:rPr>
              <w:t>It cannot be left on, or switched on, in production</w:t>
            </w:r>
          </w:p>
        </w:tc>
      </w:tr>
      <w:tr>
        <w:tc>
          <w:tcPr>
            <w:tcW w:type="dxa" w:w="3324"/>
          </w:tcPr>
          <w:p>
            <w:r>
              <w:rPr>
                <w:b w:val="0"/>
                <w:sz w:val="17"/>
              </w:rPr>
            </w:r>
            <w:r>
              <w:rPr>
                <w:b w:val="0"/>
                <w:i w:val="0"/>
                <w:sz w:val="17"/>
              </w:rPr>
              <w:t>3</w:t>
            </w:r>
          </w:p>
        </w:tc>
        <w:tc>
          <w:tcPr>
            <w:tcW w:type="dxa" w:w="3324"/>
          </w:tcPr>
          <w:p>
            <w:r>
              <w:rPr>
                <w:b w:val="0"/>
                <w:sz w:val="17"/>
              </w:rPr>
            </w:r>
            <w:r>
              <w:rPr>
                <w:b/>
                <w:i w:val="0"/>
                <w:sz w:val="17"/>
              </w:rPr>
              <w:t>Switched on for UAT without a second person, only from the server.</w:t>
            </w:r>
            <w:r>
              <w:rPr>
                <w:b w:val="0"/>
                <w:i w:val="0"/>
                <w:sz w:val="17"/>
              </w:rPr>
              <w:t xml:space="preserve"> A fresh install under a non-production environment seeds the override as allowed, labelled as seeded for UAT. On an existing database (MAIIC's server, where the setting already exists) the console command </w:t>
            </w:r>
            <w:r>
              <w:rPr>
                <w:rFonts w:ascii="Consolas" w:hAnsi="Consolas"/>
                <w:b w:val="0"/>
                <w:i w:val="0"/>
                <w:sz w:val="17"/>
              </w:rPr>
              <w:t>governance:uat-mode on</w:t>
            </w:r>
            <w:r>
              <w:rPr>
                <w:b w:val="0"/>
                <w:i w:val="0"/>
                <w:sz w:val="17"/>
              </w:rPr>
              <w:t xml:space="preserve"> writes the approved value, labelled "Switched on for UAT from the server console", audit-logged with the person and the environment. It works only under a non-production environment. </w:t>
            </w:r>
            <w:r>
              <w:rPr>
                <w:rFonts w:ascii="Consolas" w:hAnsi="Consolas"/>
                <w:b w:val="0"/>
                <w:i w:val="0"/>
                <w:sz w:val="17"/>
              </w:rPr>
              <w:t>governance:uat-mode off</w:t>
            </w:r>
            <w:r>
              <w:rPr>
                <w:b w:val="0"/>
                <w:i w:val="0"/>
                <w:sz w:val="17"/>
              </w:rPr>
              <w:t xml:space="preserve"> works under any environment</w:t>
            </w:r>
          </w:p>
        </w:tc>
        <w:tc>
          <w:tcPr>
            <w:tcW w:type="dxa" w:w="3324"/>
          </w:tcPr>
          <w:p>
            <w:r>
              <w:rPr>
                <w:b w:val="0"/>
                <w:sz w:val="17"/>
              </w:rPr>
            </w:r>
            <w:r>
              <w:rPr>
                <w:b w:val="0"/>
                <w:i w:val="0"/>
                <w:sz w:val="17"/>
              </w:rPr>
              <w:t>Removes the first-switch problem; only someone with server access can do it</w:t>
            </w:r>
          </w:p>
        </w:tc>
      </w:tr>
      <w:tr>
        <w:tc>
          <w:tcPr>
            <w:tcW w:type="dxa" w:w="3324"/>
          </w:tcPr>
          <w:p>
            <w:r>
              <w:rPr>
                <w:b w:val="0"/>
                <w:sz w:val="17"/>
              </w:rPr>
            </w:r>
            <w:r>
              <w:rPr>
                <w:b w:val="0"/>
                <w:i w:val="0"/>
                <w:sz w:val="17"/>
              </w:rPr>
              <w:t>4</w:t>
            </w:r>
          </w:p>
        </w:tc>
        <w:tc>
          <w:tcPr>
            <w:tcW w:type="dxa" w:w="3324"/>
          </w:tcPr>
          <w:p>
            <w:r>
              <w:rPr>
                <w:b w:val="0"/>
                <w:sz w:val="17"/>
              </w:rPr>
            </w:r>
            <w:r>
              <w:rPr>
                <w:b/>
                <w:i w:val="0"/>
                <w:sz w:val="17"/>
              </w:rPr>
              <w:t>Every self-approval recorded as one.</w:t>
            </w:r>
            <w:r>
              <w:rPr>
                <w:b w:val="0"/>
                <w:i w:val="0"/>
                <w:sz w:val="17"/>
              </w:rPr>
              <w:t xml:space="preserve"> Each approval made under the override writes one audit entry, "Maker-checker override used", naming the workflow, the record, the person and the setting in force (the "Override used" event of section 8.2). Where the record has an approver label it also carries "UAT self-approval (administrator override)"</w:t>
            </w:r>
          </w:p>
        </w:tc>
        <w:tc>
          <w:tcPr>
            <w:tcW w:type="dxa" w:w="3324"/>
          </w:tcPr>
          <w:p>
            <w:r>
              <w:rPr>
                <w:b w:val="0"/>
                <w:sz w:val="17"/>
              </w:rPr>
            </w:r>
            <w:r>
              <w:rPr>
                <w:b w:val="0"/>
                <w:i w:val="0"/>
                <w:sz w:val="17"/>
              </w:rPr>
              <w:t>A test approval can always be told from a real one</w:t>
            </w:r>
          </w:p>
        </w:tc>
      </w:tr>
      <w:tr>
        <w:tc>
          <w:tcPr>
            <w:tcW w:type="dxa" w:w="3324"/>
          </w:tcPr>
          <w:p>
            <w:r>
              <w:rPr>
                <w:b w:val="0"/>
                <w:sz w:val="17"/>
              </w:rPr>
            </w:r>
            <w:r>
              <w:rPr>
                <w:b w:val="0"/>
                <w:i w:val="0"/>
                <w:sz w:val="17"/>
              </w:rPr>
              <w:t>5</w:t>
            </w:r>
          </w:p>
        </w:tc>
        <w:tc>
          <w:tcPr>
            <w:tcW w:type="dxa" w:w="3324"/>
          </w:tcPr>
          <w:p>
            <w:r>
              <w:rPr>
                <w:b w:val="0"/>
                <w:sz w:val="17"/>
              </w:rPr>
            </w:r>
            <w:r>
              <w:rPr>
                <w:b/>
                <w:i w:val="0"/>
                <w:sz w:val="17"/>
              </w:rPr>
              <w:t>A banner on every screen</w:t>
            </w:r>
            <w:r>
              <w:rPr>
                <w:b w:val="0"/>
                <w:i w:val="0"/>
                <w:sz w:val="17"/>
              </w:rPr>
              <w:t xml:space="preserve"> while the override is in force on that server: </w:t>
            </w:r>
            <w:r>
              <w:rPr>
                <w:b w:val="0"/>
                <w:i/>
                <w:sz w:val="17"/>
              </w:rPr>
              <w:t>"UAT mode: maker-checker relaxed for administrators"</w:t>
            </w:r>
          </w:p>
        </w:tc>
        <w:tc>
          <w:tcPr>
            <w:tcW w:type="dxa" w:w="3324"/>
          </w:tcPr>
          <w:p>
            <w:r>
              <w:rPr>
                <w:b w:val="0"/>
                <w:sz w:val="17"/>
              </w:rPr>
            </w:r>
            <w:r>
              <w:rPr>
                <w:b w:val="0"/>
                <w:i w:val="0"/>
                <w:sz w:val="17"/>
              </w:rPr>
              <w:t>Nobody mistakes UAT for live use</w:t>
            </w:r>
          </w:p>
        </w:tc>
      </w:tr>
      <w:tr>
        <w:tc>
          <w:tcPr>
            <w:tcW w:type="dxa" w:w="3324"/>
          </w:tcPr>
          <w:p>
            <w:r>
              <w:rPr>
                <w:b w:val="0"/>
                <w:sz w:val="17"/>
              </w:rPr>
            </w:r>
            <w:r>
              <w:rPr>
                <w:b w:val="0"/>
                <w:i w:val="0"/>
                <w:sz w:val="17"/>
              </w:rPr>
              <w:t>6</w:t>
            </w:r>
          </w:p>
        </w:tc>
        <w:tc>
          <w:tcPr>
            <w:tcW w:type="dxa" w:w="3324"/>
          </w:tcPr>
          <w:p>
            <w:r>
              <w:rPr>
                <w:b w:val="0"/>
                <w:sz w:val="17"/>
              </w:rPr>
            </w:r>
            <w:r>
              <w:rPr>
                <w:b/>
                <w:i w:val="0"/>
                <w:sz w:val="17"/>
              </w:rPr>
              <w:t>A self-approvals report</w:t>
            </w:r>
            <w:r>
              <w:rPr>
                <w:b w:val="0"/>
                <w:i w:val="0"/>
                <w:sz w:val="17"/>
              </w:rPr>
              <w:t xml:space="preserve"> of everything decided under the override, read from those audit entries, by workflow, person and date, exportable</w:t>
            </w:r>
          </w:p>
        </w:tc>
        <w:tc>
          <w:tcPr>
            <w:tcW w:type="dxa" w:w="3324"/>
          </w:tcPr>
          <w:p>
            <w:r>
              <w:rPr>
                <w:b w:val="0"/>
                <w:sz w:val="17"/>
              </w:rPr>
            </w:r>
            <w:r>
              <w:rPr>
                <w:b w:val="0"/>
                <w:i w:val="0"/>
                <w:sz w:val="17"/>
              </w:rPr>
              <w:t>Shows at handover exactly what was approved without a second person</w:t>
            </w:r>
          </w:p>
        </w:tc>
      </w:tr>
      <w:tr>
        <w:tc>
          <w:tcPr>
            <w:tcW w:type="dxa" w:w="3324"/>
          </w:tcPr>
          <w:p>
            <w:r>
              <w:rPr>
                <w:b w:val="0"/>
                <w:sz w:val="17"/>
              </w:rPr>
            </w:r>
            <w:r>
              <w:rPr>
                <w:b w:val="0"/>
                <w:i w:val="0"/>
                <w:sz w:val="17"/>
              </w:rPr>
              <w:t>7</w:t>
            </w:r>
          </w:p>
        </w:tc>
        <w:tc>
          <w:tcPr>
            <w:tcW w:type="dxa" w:w="3324"/>
          </w:tcPr>
          <w:p>
            <w:r>
              <w:rPr>
                <w:b w:val="0"/>
                <w:sz w:val="17"/>
              </w:rPr>
            </w:r>
            <w:r>
              <w:rPr>
                <w:b/>
                <w:i w:val="0"/>
                <w:sz w:val="17"/>
              </w:rPr>
              <w:t>Handover.</w:t>
            </w:r>
            <w:r>
              <w:rPr>
                <w:b w:val="0"/>
                <w:i w:val="0"/>
                <w:sz w:val="17"/>
              </w:rPr>
              <w:t xml:space="preserve"> The production database starts clean, so UAT approvals never carry into it. If a UAT database were ever promoted to production, every item on the self-approvals report must be re-approved by two people first. Switching the override off is an ordinary governed change with a second person, recorded with the handover sign-off and its documents; </w:t>
            </w:r>
            <w:r>
              <w:rPr>
                <w:b/>
                <w:i w:val="0"/>
                <w:sz w:val="17"/>
              </w:rPr>
              <w:t>the override is never used to approve a change to its own setting</w:t>
            </w:r>
            <w:r>
              <w:rPr>
                <w:b w:val="0"/>
                <w:i w:val="0"/>
                <w:sz w:val="17"/>
              </w:rPr>
              <w:t xml:space="preserve">. Setting </w:t>
            </w:r>
            <w:r>
              <w:rPr>
                <w:rFonts w:ascii="Consolas" w:hAnsi="Consolas"/>
                <w:b w:val="0"/>
                <w:i w:val="0"/>
                <w:sz w:val="17"/>
              </w:rPr>
              <w:t>APP_ENV=production</w:t>
            </w:r>
            <w:r>
              <w:rPr>
                <w:b w:val="0"/>
                <w:i w:val="0"/>
                <w:sz w:val="17"/>
              </w:rPr>
              <w:t xml:space="preserve"> also stops it, whatever the setting says</w:t>
            </w:r>
          </w:p>
        </w:tc>
        <w:tc>
          <w:tcPr>
            <w:tcW w:type="dxa" w:w="3324"/>
          </w:tcPr>
          <w:p>
            <w:r>
              <w:rPr>
                <w:b w:val="0"/>
                <w:sz w:val="17"/>
              </w:rPr>
            </w:r>
            <w:r>
              <w:rPr>
                <w:b w:val="0"/>
                <w:i w:val="0"/>
                <w:sz w:val="17"/>
              </w:rPr>
              <w:t>The two-person rule is fully on from the first day of live use</w:t>
            </w:r>
          </w:p>
        </w:tc>
      </w:tr>
    </w:tbl>
    <w:p/>
    <w:p>
      <w:pPr>
        <w:pStyle w:val="Heading3"/>
      </w:pPr>
      <w:r>
        <w:t>8.10 Decisions carried into a fresh database (the decisions pack)</w:t>
      </w:r>
    </w:p>
    <w:p>
      <w:pPr>
        <w:spacing w:after="120"/>
      </w:pPr>
      <w:r>
        <w:rPr>
          <w:b/>
          <w:i w:val="0"/>
        </w:rPr>
        <w:t>Why.</w:t>
      </w:r>
      <w:r>
        <w:rPr>
          <w:b w:val="0"/>
          <w:i w:val="0"/>
        </w:rPr>
        <w:t xml:space="preserve"> The bootstrap rebuilds a database from files: the E-Banker packs, the take-on workbook, the trial balances and the models. It cannot rebuild what people decided in the system, because those decisions are in no file. By 15 October 2026 MAIIC's database held decisions of that kind: 277 fee lines reviewed under maker-checker, 113 EIRs locked by Edward, Finance's 2025 fee workbook and its integral-column re-import, the fee source precedence set to Finance first (proposal 68), the correction of loans 077 and 110 (6 fee lines moved, loan 110 reopened and both EIRs locked again), and the user accounts. A fresh bootstrap would lose all of them. The decisions pack carries them.</w:t>
      </w:r>
    </w:p>
    <w:p>
      <w:pPr>
        <w:spacing w:after="120"/>
      </w:pPr>
      <w:r>
        <w:rPr>
          <w:b/>
          <w:i w:val="0"/>
        </w:rPr>
        <w:t>What it is.</w:t>
      </w:r>
      <w:r>
        <w:rPr>
          <w:b w:val="0"/>
          <w:i w:val="0"/>
        </w:rPr>
        <w:t xml:space="preserve"> A folder, </w:t>
      </w:r>
      <w:r>
        <w:rPr>
          <w:rFonts w:ascii="Consolas" w:hAnsi="Consolas"/>
          <w:b w:val="0"/>
          <w:i w:val="0"/>
          <w:sz w:val="18"/>
        </w:rPr>
        <w:t>docs/bootstrap/decisions/&lt;date&gt;/</w:t>
      </w:r>
      <w:r>
        <w:rPr>
          <w:b w:val="0"/>
          <w:i w:val="0"/>
        </w:rPr>
        <w:t>, committed beside the E-Banker packs. It holds one file per kind of decision and a manifest with each file's SHA-256 and a tie-out of what the source database held. Finance's fee workbook is carried as the lines it loaded, as they now stand: the system does not keep an uploaded workbook once it is loaded. A pack changed after export is refused. It is written by an export from one database and replayed into a fresh one by the bootstrap.</w:t>
      </w:r>
    </w:p>
    <w:p>
      <w:pPr>
        <w:spacing w:after="120"/>
      </w:pPr>
      <w:r>
        <w:rPr>
          <w:b/>
          <w:i w:val="0"/>
        </w:rPr>
        <w:t>Export.</w:t>
      </w:r>
      <w:r>
        <w:rPr>
          <w:b w:val="0"/>
          <w:i w:val="0"/>
        </w:rPr>
        <w:t xml:space="preserve"> </w:t>
      </w:r>
      <w:r>
        <w:rPr>
          <w:rFonts w:ascii="Consolas" w:hAnsi="Consolas"/>
          <w:b w:val="0"/>
          <w:i w:val="0"/>
          <w:sz w:val="18"/>
        </w:rPr>
        <w:t>decisions:export</w:t>
      </w:r>
      <w:r>
        <w:rPr>
          <w:b w:val="0"/>
          <w:i w:val="0"/>
        </w:rPr>
        <w:t xml:space="preserve"> reads a database and writes the pack. It writes nothing to the database it reads. It is run on MAIIC's server by MAIIC ICT or Edward, never by Dupleix on MAIIC's database, once the server has the release that contains it (phase 3a). Every row is named by its business key, never by a database id, because a fresh load numbers its rows differently: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Decision</w:t>
            </w:r>
          </w:p>
        </w:tc>
        <w:tc>
          <w:tcPr>
            <w:tcW w:type="dxa" w:w="3324"/>
            <w:shd w:val="clear" w:color="auto" w:fill="1B2A41"/>
          </w:tcPr>
          <w:p>
            <w:r>
              <w:rPr>
                <w:b/>
                <w:color w:val="FFFFFF"/>
                <w:sz w:val="17"/>
              </w:rPr>
            </w:r>
            <w:r>
              <w:rPr>
                <w:b/>
                <w:i w:val="0"/>
                <w:color w:val="FFFFFF"/>
                <w:sz w:val="17"/>
              </w:rPr>
              <w:t>Business key</w:t>
            </w:r>
          </w:p>
        </w:tc>
        <w:tc>
          <w:tcPr>
            <w:tcW w:type="dxa" w:w="3324"/>
            <w:shd w:val="clear" w:color="auto" w:fill="1B2A41"/>
          </w:tcPr>
          <w:p>
            <w:r>
              <w:rPr>
                <w:b/>
                <w:color w:val="FFFFFF"/>
                <w:sz w:val="17"/>
              </w:rPr>
            </w:r>
            <w:r>
              <w:rPr>
                <w:b/>
                <w:i w:val="0"/>
                <w:color w:val="FFFFFF"/>
                <w:sz w:val="17"/>
              </w:rPr>
              <w:t>What is carried</w:t>
            </w:r>
          </w:p>
        </w:tc>
      </w:tr>
      <w:tr>
        <w:tc>
          <w:tcPr>
            <w:tcW w:type="dxa" w:w="3324"/>
          </w:tcPr>
          <w:p>
            <w:r>
              <w:rPr>
                <w:b w:val="0"/>
                <w:sz w:val="17"/>
              </w:rPr>
            </w:r>
            <w:r>
              <w:rPr>
                <w:b w:val="0"/>
                <w:i w:val="0"/>
                <w:sz w:val="17"/>
              </w:rPr>
              <w:t>Fee line classified and reviewed</w:t>
            </w:r>
          </w:p>
        </w:tc>
        <w:tc>
          <w:tcPr>
            <w:tcW w:type="dxa" w:w="3324"/>
          </w:tcPr>
          <w:p>
            <w:r>
              <w:rPr>
                <w:b w:val="0"/>
                <w:sz w:val="17"/>
              </w:rPr>
            </w:r>
            <w:r>
              <w:rPr>
                <w:b w:val="0"/>
                <w:i w:val="0"/>
                <w:sz w:val="17"/>
              </w:rPr>
              <w:t>The line's source system and source transaction id; for a Finance workbook line without them, loan, fee type, amount, date and description</w:t>
            </w:r>
          </w:p>
        </w:tc>
        <w:tc>
          <w:tcPr>
            <w:tcW w:type="dxa" w:w="3324"/>
          </w:tcPr>
          <w:p>
            <w:r>
              <w:rPr>
                <w:b w:val="0"/>
                <w:sz w:val="17"/>
              </w:rPr>
            </w:r>
            <w:r>
              <w:rPr>
                <w:b w:val="0"/>
                <w:i w:val="0"/>
                <w:sz w:val="17"/>
              </w:rPr>
              <w:t>Integral or not, the cash-flow direction, the reason, the rule applied, who classified it and when, who reviewed it and when</w:t>
            </w:r>
          </w:p>
        </w:tc>
      </w:tr>
      <w:tr>
        <w:tc>
          <w:tcPr>
            <w:tcW w:type="dxa" w:w="3324"/>
          </w:tcPr>
          <w:p>
            <w:r>
              <w:rPr>
                <w:b w:val="0"/>
                <w:sz w:val="17"/>
              </w:rPr>
            </w:r>
            <w:r>
              <w:rPr>
                <w:b w:val="0"/>
                <w:i w:val="0"/>
                <w:sz w:val="17"/>
              </w:rPr>
              <w:t>Fee line moved to another loan</w:t>
            </w:r>
          </w:p>
        </w:tc>
        <w:tc>
          <w:tcPr>
            <w:tcW w:type="dxa" w:w="3324"/>
          </w:tcPr>
          <w:p>
            <w:r>
              <w:rPr>
                <w:b w:val="0"/>
                <w:sz w:val="17"/>
              </w:rPr>
            </w:r>
            <w:r>
              <w:rPr>
                <w:b w:val="0"/>
                <w:i w:val="0"/>
                <w:sz w:val="17"/>
              </w:rPr>
              <w:t>The line's key and its original loan and date</w:t>
            </w:r>
          </w:p>
        </w:tc>
        <w:tc>
          <w:tcPr>
            <w:tcW w:type="dxa" w:w="3324"/>
          </w:tcPr>
          <w:p>
            <w:r>
              <w:rPr>
                <w:b w:val="0"/>
                <w:sz w:val="17"/>
              </w:rPr>
            </w:r>
            <w:r>
              <w:rPr>
                <w:b w:val="0"/>
                <w:i w:val="0"/>
                <w:sz w:val="17"/>
              </w:rPr>
              <w:t>The new loan, the new date, the reason, who moved it and when</w:t>
            </w:r>
          </w:p>
        </w:tc>
      </w:tr>
      <w:tr>
        <w:tc>
          <w:tcPr>
            <w:tcW w:type="dxa" w:w="3324"/>
          </w:tcPr>
          <w:p>
            <w:r>
              <w:rPr>
                <w:b w:val="0"/>
                <w:sz w:val="17"/>
              </w:rPr>
            </w:r>
            <w:r>
              <w:rPr>
                <w:b w:val="0"/>
                <w:i w:val="0"/>
                <w:sz w:val="17"/>
              </w:rPr>
              <w:t>Overlapping fee lines kept separate or treated as one</w:t>
            </w:r>
          </w:p>
        </w:tc>
        <w:tc>
          <w:tcPr>
            <w:tcW w:type="dxa" w:w="3324"/>
          </w:tcPr>
          <w:p>
            <w:r>
              <w:rPr>
                <w:b w:val="0"/>
                <w:sz w:val="17"/>
              </w:rPr>
            </w:r>
            <w:r>
              <w:rPr>
                <w:b w:val="0"/>
                <w:i w:val="0"/>
                <w:sz w:val="17"/>
              </w:rPr>
              <w:t>Both lines' keys</w:t>
            </w:r>
          </w:p>
        </w:tc>
        <w:tc>
          <w:tcPr>
            <w:tcW w:type="dxa" w:w="3324"/>
          </w:tcPr>
          <w:p>
            <w:r>
              <w:rPr>
                <w:b w:val="0"/>
                <w:sz w:val="17"/>
              </w:rPr>
            </w:r>
            <w:r>
              <w:rPr>
                <w:b w:val="0"/>
                <w:i w:val="0"/>
                <w:sz w:val="17"/>
              </w:rPr>
              <w:t>The decision, the reason, who decided</w:t>
            </w:r>
          </w:p>
        </w:tc>
      </w:tr>
      <w:tr>
        <w:tc>
          <w:tcPr>
            <w:tcW w:type="dxa" w:w="3324"/>
          </w:tcPr>
          <w:p>
            <w:r>
              <w:rPr>
                <w:b w:val="0"/>
                <w:sz w:val="17"/>
              </w:rPr>
            </w:r>
            <w:r>
              <w:rPr>
                <w:b w:val="0"/>
                <w:i w:val="0"/>
                <w:sz w:val="17"/>
              </w:rPr>
              <w:t>Held GL fee tied to a loan, or dismissed</w:t>
            </w:r>
          </w:p>
        </w:tc>
        <w:tc>
          <w:tcPr>
            <w:tcW w:type="dxa" w:w="3324"/>
          </w:tcPr>
          <w:p>
            <w:r>
              <w:rPr>
                <w:b w:val="0"/>
                <w:sz w:val="17"/>
              </w:rPr>
            </w:r>
            <w:r>
              <w:rPr>
                <w:b w:val="0"/>
                <w:i w:val="0"/>
                <w:sz w:val="17"/>
              </w:rPr>
              <w:t>The GL posting's voucher and the loan</w:t>
            </w:r>
          </w:p>
        </w:tc>
        <w:tc>
          <w:tcPr>
            <w:tcW w:type="dxa" w:w="3324"/>
          </w:tcPr>
          <w:p>
            <w:r>
              <w:rPr>
                <w:b w:val="0"/>
                <w:sz w:val="17"/>
              </w:rPr>
            </w:r>
            <w:r>
              <w:rPr>
                <w:b w:val="0"/>
                <w:i w:val="0"/>
                <w:sz w:val="17"/>
              </w:rPr>
              <w:t>Who tied or dismissed it, the reason</w:t>
            </w:r>
          </w:p>
        </w:tc>
      </w:tr>
      <w:tr>
        <w:tc>
          <w:tcPr>
            <w:tcW w:type="dxa" w:w="3324"/>
          </w:tcPr>
          <w:p>
            <w:r>
              <w:rPr>
                <w:b w:val="0"/>
                <w:sz w:val="17"/>
              </w:rPr>
            </w:r>
            <w:r>
              <w:rPr>
                <w:b w:val="0"/>
                <w:i w:val="0"/>
                <w:sz w:val="17"/>
              </w:rPr>
              <w:t>Finance fee workbook loaded</w:t>
            </w:r>
          </w:p>
        </w:tc>
        <w:tc>
          <w:tcPr>
            <w:tcW w:type="dxa" w:w="3324"/>
          </w:tcPr>
          <w:p>
            <w:r>
              <w:rPr>
                <w:b w:val="0"/>
                <w:sz w:val="17"/>
              </w:rPr>
            </w:r>
            <w:r>
              <w:rPr>
                <w:b w:val="0"/>
                <w:i w:val="0"/>
                <w:sz w:val="17"/>
              </w:rPr>
              <w:t>Each line's key, as for a fee line</w:t>
            </w:r>
          </w:p>
        </w:tc>
        <w:tc>
          <w:tcPr>
            <w:tcW w:type="dxa" w:w="3324"/>
          </w:tcPr>
          <w:p>
            <w:r>
              <w:rPr>
                <w:b w:val="0"/>
                <w:sz w:val="17"/>
              </w:rPr>
            </w:r>
            <w:r>
              <w:rPr>
                <w:b w:val="0"/>
                <w:i w:val="0"/>
                <w:sz w:val="17"/>
              </w:rPr>
              <w:t>Every line it loaded, as it now stands, and the months it covers</w:t>
            </w:r>
          </w:p>
        </w:tc>
      </w:tr>
      <w:tr>
        <w:tc>
          <w:tcPr>
            <w:tcW w:type="dxa" w:w="3324"/>
          </w:tcPr>
          <w:p>
            <w:r>
              <w:rPr>
                <w:b w:val="0"/>
                <w:sz w:val="17"/>
              </w:rPr>
            </w:r>
            <w:r>
              <w:rPr>
                <w:b w:val="0"/>
                <w:i w:val="0"/>
                <w:sz w:val="17"/>
              </w:rPr>
              <w:t>Governance setting approved by people</w:t>
            </w:r>
          </w:p>
        </w:tc>
        <w:tc>
          <w:tcPr>
            <w:tcW w:type="dxa" w:w="3324"/>
          </w:tcPr>
          <w:p>
            <w:r>
              <w:rPr>
                <w:b w:val="0"/>
                <w:sz w:val="17"/>
              </w:rPr>
            </w:r>
            <w:r>
              <w:rPr>
                <w:b w:val="0"/>
                <w:i w:val="0"/>
                <w:sz w:val="17"/>
              </w:rPr>
              <w:t>Key, value and effective date</w:t>
            </w:r>
          </w:p>
        </w:tc>
        <w:tc>
          <w:tcPr>
            <w:tcW w:type="dxa" w:w="3324"/>
          </w:tcPr>
          <w:p>
            <w:r>
              <w:rPr>
                <w:b w:val="0"/>
                <w:sz w:val="17"/>
              </w:rPr>
            </w:r>
            <w:r>
              <w:rPr>
                <w:b w:val="0"/>
                <w:i w:val="0"/>
                <w:sz w:val="17"/>
              </w:rPr>
              <w:t>Who proposed it, who approved it, when, and the reason. The UAT mode setting is the server's own (section 8.9) and is not carried</w:t>
            </w:r>
          </w:p>
        </w:tc>
      </w:tr>
      <w:tr>
        <w:tc>
          <w:tcPr>
            <w:tcW w:type="dxa" w:w="3324"/>
          </w:tcPr>
          <w:p>
            <w:r>
              <w:rPr>
                <w:b w:val="0"/>
                <w:sz w:val="17"/>
              </w:rPr>
            </w:r>
            <w:r>
              <w:rPr>
                <w:b w:val="0"/>
                <w:i w:val="0"/>
                <w:sz w:val="17"/>
              </w:rPr>
              <w:t>Fee rule approved by people</w:t>
            </w:r>
          </w:p>
        </w:tc>
        <w:tc>
          <w:tcPr>
            <w:tcW w:type="dxa" w:w="3324"/>
          </w:tcPr>
          <w:p>
            <w:r>
              <w:rPr>
                <w:b w:val="0"/>
                <w:sz w:val="17"/>
              </w:rPr>
            </w:r>
            <w:r>
              <w:rPr>
                <w:b w:val="0"/>
                <w:i w:val="0"/>
                <w:sz w:val="17"/>
              </w:rPr>
              <w:t>The rule's name and wording</w:t>
            </w:r>
          </w:p>
        </w:tc>
        <w:tc>
          <w:tcPr>
            <w:tcW w:type="dxa" w:w="3324"/>
          </w:tcPr>
          <w:p>
            <w:r>
              <w:rPr>
                <w:b w:val="0"/>
                <w:sz w:val="17"/>
              </w:rPr>
            </w:r>
            <w:r>
              <w:rPr>
                <w:b w:val="0"/>
                <w:i w:val="0"/>
                <w:sz w:val="17"/>
              </w:rPr>
              <w:t>Who wrote it, who approved it, the reason</w:t>
            </w:r>
          </w:p>
        </w:tc>
      </w:tr>
      <w:tr>
        <w:tc>
          <w:tcPr>
            <w:tcW w:type="dxa" w:w="3324"/>
          </w:tcPr>
          <w:p>
            <w:r>
              <w:rPr>
                <w:b w:val="0"/>
                <w:sz w:val="17"/>
              </w:rPr>
            </w:r>
            <w:r>
              <w:rPr>
                <w:b w:val="0"/>
                <w:i w:val="0"/>
                <w:sz w:val="17"/>
              </w:rPr>
              <w:t>EIR locked by a person</w:t>
            </w:r>
          </w:p>
        </w:tc>
        <w:tc>
          <w:tcPr>
            <w:tcW w:type="dxa" w:w="3324"/>
          </w:tcPr>
          <w:p>
            <w:r>
              <w:rPr>
                <w:b w:val="0"/>
                <w:sz w:val="17"/>
              </w:rPr>
            </w:r>
            <w:r>
              <w:rPr>
                <w:b w:val="0"/>
                <w:i w:val="0"/>
                <w:sz w:val="17"/>
              </w:rPr>
              <w:t>The loan</w:t>
            </w:r>
          </w:p>
        </w:tc>
        <w:tc>
          <w:tcPr>
            <w:tcW w:type="dxa" w:w="3324"/>
          </w:tcPr>
          <w:p>
            <w:r>
              <w:rPr>
                <w:b w:val="0"/>
                <w:sz w:val="17"/>
              </w:rPr>
            </w:r>
            <w:r>
              <w:rPr>
                <w:b w:val="0"/>
                <w:i w:val="0"/>
                <w:sz w:val="17"/>
              </w:rPr>
              <w:t>Who calculated it, who locked it, when, the locked rate and a fingerprint of the cash flows it was solved on</w:t>
            </w:r>
          </w:p>
        </w:tc>
      </w:tr>
      <w:tr>
        <w:tc>
          <w:tcPr>
            <w:tcW w:type="dxa" w:w="3324"/>
          </w:tcPr>
          <w:p>
            <w:r>
              <w:rPr>
                <w:b w:val="0"/>
                <w:sz w:val="17"/>
              </w:rPr>
            </w:r>
            <w:r>
              <w:rPr>
                <w:b w:val="0"/>
                <w:i w:val="0"/>
                <w:sz w:val="17"/>
              </w:rPr>
              <w:t>EIR reopen request</w:t>
            </w:r>
          </w:p>
        </w:tc>
        <w:tc>
          <w:tcPr>
            <w:tcW w:type="dxa" w:w="3324"/>
          </w:tcPr>
          <w:p>
            <w:r>
              <w:rPr>
                <w:b w:val="0"/>
                <w:sz w:val="17"/>
              </w:rPr>
            </w:r>
            <w:r>
              <w:rPr>
                <w:b w:val="0"/>
                <w:i w:val="0"/>
                <w:sz w:val="17"/>
              </w:rPr>
              <w:t>The loan and the request date</w:t>
            </w:r>
          </w:p>
        </w:tc>
        <w:tc>
          <w:tcPr>
            <w:tcW w:type="dxa" w:w="3324"/>
          </w:tcPr>
          <w:p>
            <w:r>
              <w:rPr>
                <w:b w:val="0"/>
                <w:sz w:val="17"/>
              </w:rPr>
            </w:r>
            <w:r>
              <w:rPr>
                <w:b w:val="0"/>
                <w:i w:val="0"/>
                <w:sz w:val="17"/>
              </w:rPr>
              <w:t>The request and its decision, carried as history</w:t>
            </w:r>
          </w:p>
        </w:tc>
      </w:tr>
      <w:tr>
        <w:tc>
          <w:tcPr>
            <w:tcW w:type="dxa" w:w="3324"/>
          </w:tcPr>
          <w:p>
            <w:r>
              <w:rPr>
                <w:b w:val="0"/>
                <w:sz w:val="17"/>
              </w:rPr>
            </w:r>
            <w:r>
              <w:rPr>
                <w:b w:val="0"/>
                <w:i w:val="0"/>
                <w:sz w:val="17"/>
              </w:rPr>
              <w:t>User</w:t>
            </w:r>
          </w:p>
        </w:tc>
        <w:tc>
          <w:tcPr>
            <w:tcW w:type="dxa" w:w="3324"/>
          </w:tcPr>
          <w:p>
            <w:r>
              <w:rPr>
                <w:b w:val="0"/>
                <w:sz w:val="17"/>
              </w:rPr>
            </w:r>
            <w:r>
              <w:rPr>
                <w:b w:val="0"/>
                <w:i w:val="0"/>
                <w:sz w:val="17"/>
              </w:rPr>
              <w:t>E-mail</w:t>
            </w:r>
          </w:p>
        </w:tc>
        <w:tc>
          <w:tcPr>
            <w:tcW w:type="dxa" w:w="3324"/>
          </w:tcPr>
          <w:p>
            <w:r>
              <w:rPr>
                <w:b w:val="0"/>
                <w:sz w:val="17"/>
              </w:rPr>
            </w:r>
            <w:r>
              <w:rPr>
                <w:b w:val="0"/>
                <w:i w:val="0"/>
                <w:sz w:val="17"/>
              </w:rPr>
              <w:t>Name, roles and direct permissions; never the password or the two-factor secret</w:t>
            </w:r>
          </w:p>
        </w:tc>
      </w:tr>
    </w:tbl>
    <w:p/>
    <w:p>
      <w:pPr>
        <w:spacing w:after="120"/>
      </w:pPr>
      <w:r>
        <w:rPr>
          <w:b w:val="0"/>
          <w:i w:val="0"/>
        </w:rPr>
        <w:t>Every person is carried by e-mail and matched to the user of the same e-mail in the fresh database.</w:t>
      </w:r>
    </w:p>
    <w:p>
      <w:pPr>
        <w:spacing w:after="120"/>
      </w:pPr>
      <w:r>
        <w:rPr>
          <w:b/>
          <w:i w:val="0"/>
        </w:rPr>
        <w:t>Replay.</w:t>
      </w:r>
      <w:r>
        <w:rPr>
          <w:b w:val="0"/>
          <w:i w:val="0"/>
        </w:rPr>
        <w:t xml:space="preserve"> </w:t>
      </w:r>
      <w:r>
        <w:rPr>
          <w:rFonts w:ascii="Consolas" w:hAnsi="Consolas"/>
          <w:b w:val="0"/>
          <w:i w:val="0"/>
          <w:sz w:val="18"/>
        </w:rPr>
        <w:t>eir:bootstrap --with-decisions=&lt;date&gt;</w:t>
      </w:r>
      <w:r>
        <w:rPr>
          <w:b w:val="0"/>
          <w:i w:val="0"/>
        </w:rPr>
        <w:t xml:space="preserve"> replays the pack in two places:</w:t>
      </w:r>
    </w:p>
    <w:p>
      <w:pPr>
        <w:pStyle w:val="ListNumber"/>
      </w:pPr>
      <w:r>
        <w:rPr>
          <w:b/>
          <w:i w:val="0"/>
        </w:rPr>
        <w:t>After the fee build, before the schedules are approved:</w:t>
      </w:r>
      <w:r>
        <w:rPr>
          <w:b w:val="0"/>
          <w:i w:val="0"/>
        </w:rPr>
        <w:t xml:space="preserve"> the users; the governance settings; the fee rules; Finance's workbook, loaded through the normal import with its tie-out; the overlap decisions, held-fee ties and dismissals; the fee moves; then the classifications and reviews. The fee source precedence is then applied once to the result.</w:t>
      </w:r>
    </w:p>
    <w:p>
      <w:pPr>
        <w:pStyle w:val="ListNumber"/>
      </w:pPr>
      <w:r>
        <w:rPr>
          <w:b/>
          <w:i w:val="0"/>
        </w:rPr>
        <w:t>In place of the bootstrap's own lock, for the loans the pack names:</w:t>
      </w:r>
      <w:r>
        <w:rPr>
          <w:b w:val="0"/>
          <w:i w:val="0"/>
        </w:rPr>
        <w:t xml:space="preserve"> the EIR is calculated and locked under the person who locked it in the source database, but only if the rate and the cash-flow fingerprint come out the same. Every other loan is locked under the System Bootstrap label as today.</w:t>
      </w:r>
    </w:p>
    <w:p>
      <w:pPr>
        <w:spacing w:after="120"/>
      </w:pPr>
      <w:r>
        <w:rPr>
          <w:b w:val="0"/>
          <w:i w:val="0"/>
        </w:rPr>
        <w:t>A reopen request is not executed again. In the source database it reopened an EIR so that fee lines could be moved. In the replay the lines are moved before any EIR is locked, so the request is carried as history on the loan.</w:t>
      </w:r>
    </w:p>
    <w:p>
      <w:pPr>
        <w:spacing w:after="120"/>
      </w:pPr>
      <w:r>
        <w:rPr>
          <w:b/>
          <w:i w:val="0"/>
        </w:rPr>
        <w:t>Labelled as carried, never as new.</w:t>
      </w:r>
      <w:r>
        <w:rPr>
          <w:b w:val="0"/>
          <w:i w:val="0"/>
        </w:rPr>
        <w:t xml:space="preserve"> Each replayed decision keeps its original person and date on the record. Each writes one audit entry, </w:t>
      </w:r>
      <w:r>
        <w:rPr>
          <w:b w:val="0"/>
          <w:i/>
        </w:rPr>
        <w:t>"Carried from &lt;database&gt; by the decisions pack of &lt;date&gt;"</w:t>
      </w:r>
      <w:r>
        <w:rPr>
          <w:b w:val="0"/>
          <w:i w:val="0"/>
        </w:rPr>
        <w:t>, naming the original person and date. It never carries the System Bootstrap label, because it was a person's decision and not an automated one. A decision the source database recorded as a UAT self-approval is carried with that label, and section 8.9 item 7 still applies to it.</w:t>
      </w:r>
    </w:p>
    <w:p>
      <w:pPr>
        <w:spacing w:after="120"/>
      </w:pPr>
      <w:r>
        <w:rPr>
          <w:b/>
          <w:i w:val="0"/>
        </w:rPr>
        <w:t>What does not match is listed, never forced.</w:t>
      </w:r>
      <w:r>
        <w:rPr>
          <w:b w:val="0"/>
          <w:i w:val="0"/>
        </w:rPr>
        <w:t xml:space="preserve"> A decision whose row is not found in the fresh database, or whose row differs, is not applied and goes on the replay report with the reason. For example: a fee line the new code builds differently, a workbook whose tie-out fails, or an EIR whose rate or cash flows differ. The line stays pending, or the EIR stays calculated and unlocked, for a person to decide again. The report is written to the bootstrap output and to </w:t>
      </w:r>
      <w:r>
        <w:rPr>
          <w:rFonts w:ascii="Consolas" w:hAnsi="Consolas"/>
          <w:b w:val="0"/>
          <w:i w:val="0"/>
          <w:sz w:val="18"/>
        </w:rPr>
        <w:t>storage/app/decisions/replay-&lt;date&gt;.csv</w:t>
      </w:r>
      <w:r>
        <w:rPr>
          <w:b w:val="0"/>
          <w:i w:val="0"/>
        </w:rPr>
        <w:t>.</w:t>
      </w:r>
    </w:p>
    <w:p>
      <w:pPr>
        <w:spacing w:after="120"/>
      </w:pPr>
      <w:r>
        <w:rPr>
          <w:b/>
          <w:i w:val="0"/>
        </w:rPr>
        <w:t>Not carried, because the engines recompute them:</w:t>
      </w:r>
      <w:r>
        <w:rPr>
          <w:b w:val="0"/>
          <w:i w:val="0"/>
        </w:rPr>
        <w:t xml:space="preserve"> the stages, the Stage 3 history, the ECL, the revenue, the amortisation and every other figure derived from the data and the decisions.</w:t>
      </w:r>
    </w:p>
    <w:p>
      <w:pPr>
        <w:spacing w:after="120"/>
      </w:pPr>
      <w:r>
        <w:rPr>
          <w:b/>
          <w:i w:val="0"/>
        </w:rPr>
        <w:t>The checks.</w:t>
      </w:r>
      <w:r>
        <w:rPr>
          <w:b w:val="0"/>
          <w:i w:val="0"/>
        </w:rPr>
        <w:t xml:space="preserve"> The bootstrap without </w:t>
      </w:r>
      <w:r>
        <w:rPr>
          <w:rFonts w:ascii="Consolas" w:hAnsi="Consolas"/>
          <w:b w:val="0"/>
          <w:i w:val="0"/>
          <w:sz w:val="18"/>
        </w:rPr>
        <w:t>--with-decisions</w:t>
      </w:r>
      <w:r>
        <w:rPr>
          <w:b w:val="0"/>
          <w:i w:val="0"/>
        </w:rPr>
        <w:t xml:space="preserve"> is unchanged, and its verify checks and golden values stay as they are. A bootstrap with a pack ends with a tie-out against the pack's manifest: reviewed fee lines, locked EIRs, each locked rate, the governance settings and the users. Each must equal the source database, or be named on the replay report. The verify checks of a bootstrap with a pack are recorded beside the golden values as a second set, since people's decisions move the EIR and the figures that follow it.</w:t>
      </w:r>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r>
        <w:tc>
          <w:tcPr>
            <w:tcW w:type="dxa" w:w="2493"/>
          </w:tcPr>
          <w:p>
            <w:r>
              <w:rPr>
                <w:b w:val="0"/>
                <w:sz w:val="17"/>
              </w:rPr>
            </w:r>
            <w:r>
              <w:rPr>
                <w:b w:val="0"/>
                <w:i w:val="0"/>
                <w:sz w:val="17"/>
              </w:rPr>
              <w:t>S11</w:t>
            </w:r>
          </w:p>
        </w:tc>
        <w:tc>
          <w:tcPr>
            <w:tcW w:type="dxa" w:w="2493"/>
          </w:tcPr>
          <w:p>
            <w:r>
              <w:rPr>
                <w:b w:val="0"/>
                <w:sz w:val="17"/>
              </w:rPr>
            </w:r>
            <w:r>
              <w:rPr>
                <w:b w:val="0"/>
                <w:i w:val="0"/>
                <w:sz w:val="17"/>
              </w:rPr>
              <w:t>Which environments may use UAT mode, and who switches it off at handover</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 xml:space="preserve">The UAT environment only: MAIIC's server runs </w:t>
            </w:r>
            <w:r>
              <w:rPr>
                <w:rFonts w:ascii="Consolas" w:hAnsi="Consolas"/>
                <w:b w:val="0"/>
                <w:i w:val="0"/>
                <w:sz w:val="17"/>
              </w:rPr>
              <w:t>APP_ENV=uat</w:t>
            </w:r>
            <w:r>
              <w:rPr>
                <w:b w:val="0"/>
                <w:i w:val="0"/>
                <w:sz w:val="17"/>
              </w:rPr>
              <w:t xml:space="preserve"> during UAT and </w:t>
            </w:r>
            <w:r>
              <w:rPr>
                <w:rFonts w:ascii="Consolas" w:hAnsi="Consolas"/>
                <w:b w:val="0"/>
                <w:i w:val="0"/>
                <w:sz w:val="17"/>
              </w:rPr>
              <w:t>APP_ENV=production</w:t>
            </w:r>
            <w:r>
              <w:rPr>
                <w:b w:val="0"/>
                <w:i w:val="0"/>
                <w:sz w:val="17"/>
              </w:rPr>
              <w:t xml:space="preserve"> from handover; the handover sign-off records the switch-off, approved by a second person</w:t>
            </w:r>
          </w:p>
        </w:tc>
      </w:tr>
      <w:tr>
        <w:tc>
          <w:tcPr>
            <w:tcW w:type="dxa" w:w="2493"/>
          </w:tcPr>
          <w:p>
            <w:r>
              <w:rPr>
                <w:b w:val="0"/>
                <w:sz w:val="17"/>
              </w:rPr>
            </w:r>
            <w:r>
              <w:rPr>
                <w:b w:val="0"/>
                <w:i w:val="0"/>
                <w:sz w:val="17"/>
              </w:rPr>
              <w:t>S12</w:t>
            </w:r>
          </w:p>
        </w:tc>
        <w:tc>
          <w:tcPr>
            <w:tcW w:type="dxa" w:w="2493"/>
          </w:tcPr>
          <w:p>
            <w:r>
              <w:rPr>
                <w:b w:val="0"/>
                <w:sz w:val="17"/>
              </w:rPr>
            </w:r>
            <w:r>
              <w:rPr>
                <w:b w:val="0"/>
                <w:i w:val="0"/>
                <w:sz w:val="17"/>
              </w:rPr>
              <w:t>Where the decisions pack is kept</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In the project repository beside the E-Banker packs, which already hold MAIIC's data; never with passwords or two-factor secrets</w:t>
            </w:r>
          </w:p>
        </w:tc>
      </w:tr>
      <w:tr>
        <w:tc>
          <w:tcPr>
            <w:tcW w:type="dxa" w:w="2493"/>
          </w:tcPr>
          <w:p>
            <w:r>
              <w:rPr>
                <w:b w:val="0"/>
                <w:sz w:val="17"/>
              </w:rPr>
            </w:r>
            <w:r>
              <w:rPr>
                <w:b w:val="0"/>
                <w:i w:val="0"/>
                <w:sz w:val="17"/>
              </w:rPr>
              <w:t>S13</w:t>
            </w:r>
          </w:p>
        </w:tc>
        <w:tc>
          <w:tcPr>
            <w:tcW w:type="dxa" w:w="2493"/>
          </w:tcPr>
          <w:p>
            <w:r>
              <w:rPr>
                <w:b w:val="0"/>
                <w:sz w:val="17"/>
              </w:rPr>
            </w:r>
            <w:r>
              <w:rPr>
                <w:b w:val="0"/>
                <w:i w:val="0"/>
                <w:sz w:val="17"/>
              </w:rPr>
              <w:t>How carried users sign in for the first time</w:t>
            </w:r>
          </w:p>
        </w:tc>
        <w:tc>
          <w:tcPr>
            <w:tcW w:type="dxa" w:w="2493"/>
          </w:tcPr>
          <w:p>
            <w:r>
              <w:rPr>
                <w:b w:val="0"/>
                <w:sz w:val="17"/>
              </w:rPr>
            </w:r>
            <w:r>
              <w:rPr>
                <w:b w:val="0"/>
                <w:i w:val="0"/>
                <w:sz w:val="17"/>
              </w:rPr>
              <w:t>MAIIC ICT</w:t>
            </w:r>
          </w:p>
        </w:tc>
        <w:tc>
          <w:tcPr>
            <w:tcW w:type="dxa" w:w="2493"/>
          </w:tcPr>
          <w:p>
            <w:r>
              <w:rPr>
                <w:b w:val="0"/>
                <w:sz w:val="17"/>
              </w:rPr>
            </w:r>
            <w:r>
              <w:rPr>
                <w:b w:val="0"/>
                <w:i w:val="0"/>
                <w:sz w:val="17"/>
              </w:rPr>
              <w:t>Each sets a new password through the reset link; no password is carried</w:t>
            </w:r>
          </w:p>
        </w:tc>
      </w:tr>
      <w:tr>
        <w:tc>
          <w:tcPr>
            <w:tcW w:type="dxa" w:w="2493"/>
          </w:tcPr>
          <w:p>
            <w:r>
              <w:rPr>
                <w:b w:val="0"/>
                <w:sz w:val="17"/>
              </w:rPr>
            </w:r>
            <w:r>
              <w:rPr>
                <w:b w:val="0"/>
                <w:i w:val="0"/>
                <w:sz w:val="17"/>
              </w:rPr>
              <w:t>S14</w:t>
            </w:r>
          </w:p>
        </w:tc>
        <w:tc>
          <w:tcPr>
            <w:tcW w:type="dxa" w:w="2493"/>
          </w:tcPr>
          <w:p>
            <w:r>
              <w:rPr>
                <w:b w:val="0"/>
                <w:sz w:val="17"/>
              </w:rPr>
            </w:r>
            <w:r>
              <w:rPr>
                <w:b w:val="0"/>
                <w:i w:val="0"/>
                <w:sz w:val="17"/>
              </w:rPr>
              <w:t>Who runs the export on MAIIC's server, and when</w:t>
            </w:r>
          </w:p>
        </w:tc>
        <w:tc>
          <w:tcPr>
            <w:tcW w:type="dxa" w:w="2493"/>
          </w:tcPr>
          <w:p>
            <w:r>
              <w:rPr>
                <w:b w:val="0"/>
                <w:sz w:val="17"/>
              </w:rPr>
            </w:r>
            <w:r>
              <w:rPr>
                <w:b w:val="0"/>
                <w:i w:val="0"/>
                <w:sz w:val="17"/>
              </w:rPr>
              <w:t>MAIIC ICT, with Edward</w:t>
            </w:r>
          </w:p>
        </w:tc>
        <w:tc>
          <w:tcPr>
            <w:tcW w:type="dxa" w:w="2493"/>
          </w:tcPr>
          <w:p>
            <w:r>
              <w:rPr>
                <w:b w:val="0"/>
                <w:sz w:val="17"/>
              </w:rPr>
            </w:r>
            <w:r>
              <w:rPr>
                <w:b w:val="0"/>
                <w:i w:val="0"/>
                <w:sz w:val="17"/>
              </w:rPr>
              <w:t>MAIIC ICT, read-only, before any fresh bootstrap that is to replace a database people have worked in</w:t>
            </w:r>
          </w:p>
        </w:tc>
      </w:tr>
    </w:tbl>
    <w:p/>
    <w:p>
      <w:pPr>
        <w:pStyle w:val="Heading2"/>
      </w:pPr>
      <w:r>
        <w:t>10. Acceptance</w:t>
      </w:r>
    </w:p>
    <w:p>
      <w:pPr>
        <w:pStyle w:val="ListNumber"/>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pPr>
      <w:r>
        <w:rPr>
          <w:b/>
          <w:i w:val="0"/>
        </w:rPr>
        <w:t>Adoption.</w:t>
      </w:r>
      <w:r>
        <w:rPr>
          <w:b w:val="0"/>
          <w:i w:val="0"/>
        </w:rPr>
        <w:t xml:space="preserve"> Approving directive-aligned staging from a month stages that month and later ones on the new rules; locked months are unchanged.</w:t>
      </w:r>
    </w:p>
    <w:p>
      <w:pPr>
        <w:pStyle w:val="ListNumber"/>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pPr>
      <w:r>
        <w:rPr>
          <w:b/>
          <w:i w:val="0"/>
        </w:rPr>
        <w:t>RBM return unchanged.</w:t>
      </w:r>
      <w:r>
        <w:rPr>
          <w:b w:val="0"/>
          <w:i w:val="0"/>
        </w:rPr>
        <w:t xml:space="preserve"> The RBM return for a month is identical whichever staging policy is in force.</w:t>
      </w:r>
    </w:p>
    <w:p>
      <w:pPr>
        <w:pStyle w:val="ListNumber"/>
      </w:pPr>
      <w:r>
        <w:rPr>
          <w:b/>
          <w:i w:val="0"/>
        </w:rPr>
        <w:t>No silent default.</w:t>
      </w:r>
      <w:r>
        <w:rPr>
          <w:b w:val="0"/>
          <w:i w:val="0"/>
        </w:rPr>
        <w:t xml:space="preserve"> Removing a staging setting for a month stops staging with a named error, as today.</w:t>
      </w:r>
    </w:p>
    <w:p>
      <w:pPr>
        <w:pStyle w:val="ListNumber"/>
      </w:pPr>
      <w:r>
        <w:rPr>
          <w:b/>
          <w:i w:val="0"/>
        </w:rPr>
        <w:t>Regression.</w:t>
      </w:r>
      <w:r>
        <w:rPr>
          <w:b w:val="0"/>
          <w:i w:val="0"/>
        </w:rPr>
        <w:t xml:space="preserve"> On a fresh bootstrap every verify check that does not follow the stage still passes (ledger, take-on, GL and RBM ties); the checks that follow the stage (ECL, discounted allowance, Mega Farm provision, EIR revenue) move only as the comparison run explains, and are set again from that bootstrap once Edward accepts them (section 6).</w:t>
      </w:r>
    </w:p>
    <w:p>
      <w:pPr>
        <w:pStyle w:val="ListNumber"/>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pPr>
      <w:r>
        <w:rPr>
          <w:b/>
          <w:i w:val="0"/>
        </w:rPr>
        <w:t>Approvals register.</w:t>
      </w:r>
      <w:r>
        <w:rPr>
          <w:b w:val="0"/>
          <w:i w:val="0"/>
        </w:rPr>
        <w:t xml:space="preserve"> The Approvals view lists every pending and decided item across all workflows and reconciles to the audit log.</w:t>
      </w:r>
    </w:p>
    <w:p>
      <w:pPr>
        <w:pStyle w:val="ListNumber"/>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pPr>
      <w:r>
        <w:rPr>
          <w:b/>
          <w:i w:val="0"/>
        </w:rPr>
        <w:t>Run of record.</w:t>
      </w:r>
      <w:r>
        <w:rPr>
          <w:b w:val="0"/>
          <w:i w:val="0"/>
        </w:rPr>
        <w:t xml:space="preserve"> Locking a month names the run whose figures were reported; a later rebuild of an unlocked month supersedes earlier runs and keeps them.</w:t>
      </w:r>
    </w:p>
    <w:p>
      <w:pPr>
        <w:pStyle w:val="ListNumber"/>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pPr>
      <w:r>
        <w:rPr>
          <w:b/>
          <w:i w:val="0"/>
        </w:rPr>
        <w:t>Re-performance.</w:t>
      </w:r>
      <w:r>
        <w:rPr>
          <w:b w:val="0"/>
          <w:i w:val="0"/>
        </w:rPr>
        <w:t xml:space="preserve"> Re-running a locked month from its snapshot reproduces its stored stages, ECL and revenue loan by loan, or names each difference.</w:t>
      </w:r>
    </w:p>
    <w:p>
      <w:pPr>
        <w:pStyle w:val="ListNumber"/>
      </w:pPr>
      <w:r>
        <w:rPr>
          <w:b/>
          <w:i w:val="0"/>
        </w:rPr>
        <w:t>One check.</w:t>
      </w:r>
      <w:r>
        <w:rPr>
          <w:b w:val="0"/>
          <w:i w:val="0"/>
        </w:rPr>
        <w:t xml:space="preserve"> Every workflow of section 8.6 and the Governance Centre honour the override through the same check; with the override not allowed, every one refuses a self-approval.</w:t>
      </w:r>
    </w:p>
    <w:p>
      <w:pPr>
        <w:pStyle w:val="ListNumber"/>
      </w:pPr>
      <w:r>
        <w:rPr>
          <w:b/>
          <w:i w:val="0"/>
        </w:rPr>
        <w:t>Production guard.</w:t>
      </w:r>
      <w:r>
        <w:rPr>
          <w:b w:val="0"/>
          <w:i w:val="0"/>
        </w:rPr>
        <w:t xml:space="preserve"> Under a production environment a self-approval is refused even with the setting allowed, the allowing option cannot be proposed or approved, and </w:t>
      </w:r>
      <w:r>
        <w:rPr>
          <w:rFonts w:ascii="Consolas" w:hAnsi="Consolas"/>
          <w:b w:val="0"/>
          <w:i w:val="0"/>
          <w:sz w:val="18"/>
        </w:rPr>
        <w:t>governance:uat-mode on</w:t>
      </w:r>
      <w:r>
        <w:rPr>
          <w:b w:val="0"/>
          <w:i w:val="0"/>
        </w:rPr>
        <w:t xml:space="preserve"> is refused.</w:t>
      </w:r>
    </w:p>
    <w:p>
      <w:pPr>
        <w:pStyle w:val="ListNumber"/>
      </w:pPr>
      <w:r>
        <w:rPr>
          <w:b/>
          <w:i w:val="0"/>
        </w:rPr>
        <w:t>Labelled.</w:t>
      </w:r>
      <w:r>
        <w:rPr>
          <w:b w:val="0"/>
          <w:i w:val="0"/>
        </w:rPr>
        <w:t xml:space="preserve"> Every approval made under the override carries the UAT self-approval label on the record and in the audit log, and appears on the self-approvals report; the banner shows on every screen while the override is in force.</w:t>
      </w:r>
    </w:p>
    <w:p>
      <w:pPr>
        <w:pStyle w:val="ListNumber"/>
      </w:pPr>
      <w:r>
        <w:rPr>
          <w:b/>
          <w:i w:val="0"/>
        </w:rPr>
        <w:t>Handover.</w:t>
      </w:r>
      <w:r>
        <w:rPr>
          <w:b w:val="0"/>
          <w:i w:val="0"/>
        </w:rPr>
        <w:t xml:space="preserve"> Switching the override off needs a second person (the override never approves a change to its own setting); afterwards every workflow refuses a self-approval.</w:t>
      </w:r>
    </w:p>
    <w:p>
      <w:pPr>
        <w:pStyle w:val="ListNumber"/>
      </w:pPr>
      <w:r>
        <w:rPr>
          <w:b/>
          <w:i w:val="0"/>
        </w:rPr>
        <w:t>Export writes nothing.</w:t>
      </w:r>
      <w:r>
        <w:rPr>
          <w:b w:val="0"/>
          <w:i w:val="0"/>
        </w:rPr>
        <w:t xml:space="preserve"> </w:t>
      </w:r>
      <w:r>
        <w:rPr>
          <w:rFonts w:ascii="Consolas" w:hAnsi="Consolas"/>
          <w:b w:val="0"/>
          <w:i w:val="0"/>
          <w:sz w:val="18"/>
        </w:rPr>
        <w:t>decisions:export</w:t>
      </w:r>
      <w:r>
        <w:rPr>
          <w:b w:val="0"/>
          <w:i w:val="0"/>
        </w:rPr>
        <w:t xml:space="preserve"> leaves the database it reads unchanged, and its pack holds no database id, no password and no two-factor secret.</w:t>
      </w:r>
    </w:p>
    <w:p>
      <w:pPr>
        <w:pStyle w:val="ListNumber"/>
      </w:pPr>
      <w:r>
        <w:rPr>
          <w:b/>
          <w:i w:val="0"/>
        </w:rPr>
        <w:t>Replay reproduces.</w:t>
      </w:r>
      <w:r>
        <w:rPr>
          <w:b w:val="0"/>
          <w:i w:val="0"/>
        </w:rPr>
        <w:t xml:space="preserve"> A fresh bootstrap with a pack exported from a database ends with the same reviewed fee lines, locked EIRs and locked rates, governance settings and users as that database, or names each difference on the replay report.</w:t>
      </w:r>
    </w:p>
    <w:p>
      <w:pPr>
        <w:pStyle w:val="ListNumber"/>
      </w:pPr>
      <w:r>
        <w:rPr>
          <w:b/>
          <w:i w:val="0"/>
        </w:rPr>
        <w:t>Carried, not new.</w:t>
      </w:r>
      <w:r>
        <w:rPr>
          <w:b w:val="0"/>
          <w:i w:val="0"/>
        </w:rPr>
        <w:t xml:space="preserve"> Every replayed decision keeps its original person and date, carries the decisions-pack audit entry, and never the System Bootstrap label.</w:t>
      </w:r>
    </w:p>
    <w:p>
      <w:pPr>
        <w:pStyle w:val="ListNumber"/>
      </w:pPr>
      <w:r>
        <w:rPr>
          <w:b/>
          <w:i w:val="0"/>
        </w:rPr>
        <w:t>Nothing forced.</w:t>
      </w:r>
      <w:r>
        <w:rPr>
          <w:b w:val="0"/>
          <w:i w:val="0"/>
        </w:rPr>
        <w:t xml:space="preserve"> A decision whose row is missing or different in the fresh database is left undecided and listed with its reason.</w:t>
      </w:r>
    </w:p>
    <w:p>
      <w:pPr>
        <w:pStyle w:val="ListNumber"/>
      </w:pPr>
      <w:r>
        <w:rPr>
          <w:b/>
          <w:i w:val="0"/>
        </w:rPr>
        <w:t>No pack, no change.</w:t>
      </w:r>
      <w:r>
        <w:rPr>
          <w:b w:val="0"/>
          <w:i w:val="0"/>
        </w:rPr>
        <w:t xml:space="preserve"> A bootstrap without a pack gives the same verify results as before the pack was built.</w:t>
      </w:r>
    </w:p>
    <w:p>
      <w:pPr>
        <w:pStyle w:val="Heading2"/>
      </w:pPr>
      <w:r>
        <w:t>11. Build order</w:t>
      </w:r>
    </w:p>
    <w:p>
      <w:pPr>
        <w:spacing w:after="120"/>
      </w:pPr>
      <w:r>
        <w:rPr>
          <w:b w:val="0"/>
          <w:i w:val="0"/>
        </w:rPr>
        <w:t>The work is done in five phases, in the order below. Governed staging comes first, because it is the purpose of this specification; the protection of locked months and UAT mode follow, then the fee rulebook control, then the rest of the governance record. The build is done on its own branch, and each phase is merged and released when all its sections are complete and confirmed (section 11.1). The sizes are Dupleix's estimates of the build.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Phase</w:t>
            </w:r>
          </w:p>
        </w:tc>
        <w:tc>
          <w:tcPr>
            <w:tcW w:type="dxa" w:w="1994"/>
            <w:shd w:val="clear" w:color="auto" w:fill="1B2A41"/>
          </w:tcPr>
          <w:p>
            <w:r>
              <w:rPr>
                <w:b/>
                <w:color w:val="FFFFFF"/>
                <w:sz w:val="17"/>
              </w:rPr>
            </w:r>
            <w:r>
              <w:rPr>
                <w:b/>
                <w:i w:val="0"/>
                <w:color w:val="FFFFFF"/>
                <w:sz w:val="17"/>
              </w:rPr>
              <w:t>Work</w:t>
            </w:r>
          </w:p>
        </w:tc>
        <w:tc>
          <w:tcPr>
            <w:tcW w:type="dxa" w:w="1994"/>
            <w:shd w:val="clear" w:color="auto" w:fill="1B2A41"/>
          </w:tcPr>
          <w:p>
            <w:r>
              <w:rPr>
                <w:b/>
                <w:color w:val="FFFFFF"/>
                <w:sz w:val="17"/>
              </w:rPr>
            </w:r>
            <w:r>
              <w:rPr>
                <w:b/>
                <w:i w:val="0"/>
                <w:color w:val="FFFFFF"/>
                <w:sz w:val="17"/>
              </w:rPr>
              <w:t>Sections</w:t>
            </w:r>
          </w:p>
        </w:tc>
        <w:tc>
          <w:tcPr>
            <w:tcW w:type="dxa" w:w="1994"/>
            <w:shd w:val="clear" w:color="auto" w:fill="1B2A41"/>
          </w:tcPr>
          <w:p>
            <w:r>
              <w:rPr>
                <w:b/>
                <w:color w:val="FFFFFF"/>
                <w:sz w:val="17"/>
              </w:rPr>
            </w:r>
            <w:r>
              <w:rPr>
                <w:b/>
                <w:i w:val="0"/>
                <w:color w:val="FFFFFF"/>
                <w:sz w:val="17"/>
              </w:rPr>
              <w:t>Acceptance</w:t>
            </w:r>
          </w:p>
        </w:tc>
        <w:tc>
          <w:tcPr>
            <w:tcW w:type="dxa" w:w="1994"/>
            <w:shd w:val="clear" w:color="auto" w:fill="1B2A41"/>
          </w:tcPr>
          <w:p>
            <w:r>
              <w:rPr>
                <w:b/>
                <w:color w:val="FFFFFF"/>
                <w:sz w:val="17"/>
              </w:rPr>
            </w:r>
            <w:r>
              <w:rPr>
                <w:b/>
                <w:i w:val="0"/>
                <w:color w:val="FFFFFF"/>
                <w:sz w:val="17"/>
              </w:rPr>
              <w:t>Size</w:t>
            </w:r>
          </w:p>
        </w:tc>
      </w:tr>
      <w:tr>
        <w:tc>
          <w:tcPr>
            <w:tcW w:type="dxa" w:w="1994"/>
          </w:tcPr>
          <w:p>
            <w:r>
              <w:rPr>
                <w:b w:val="0"/>
                <w:sz w:val="17"/>
              </w:rPr>
            </w:r>
            <w:r>
              <w:rPr>
                <w:b/>
                <w:i w:val="0"/>
                <w:sz w:val="17"/>
              </w:rPr>
              <w:t>1. Governed staging</w:t>
            </w:r>
          </w:p>
        </w:tc>
        <w:tc>
          <w:tcPr>
            <w:tcW w:type="dxa" w:w="1994"/>
          </w:tcPr>
          <w:p>
            <w:r>
              <w:rPr>
                <w:b w:val="0"/>
                <w:sz w:val="17"/>
              </w:rPr>
            </w:r>
            <w:r>
              <w:rPr>
                <w:b w:val="0"/>
                <w:i w:val="0"/>
                <w:sz w:val="17"/>
              </w:rPr>
              <w:t xml:space="preserve">The settings, the presets and their seeding, with single-ladder staging as the default; </w:t>
            </w:r>
            <w:r>
              <w:rPr>
                <w:rFonts w:ascii="Consolas" w:hAnsi="Consolas"/>
                <w:b w:val="0"/>
                <w:i w:val="0"/>
                <w:sz w:val="17"/>
              </w:rPr>
              <w:t>StagingService</w:t>
            </w:r>
            <w:r>
              <w:rPr>
                <w:b w:val="0"/>
                <w:i w:val="0"/>
                <w:sz w:val="17"/>
              </w:rPr>
              <w:t xml:space="preserve"> reading every rule from the settings;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the comparison run with its tables, command, panel, export and audit-workbook sheet; then, after the phase is merged and released, the comparison runs for December 2025 and September 2026 on MAIIC's server</w:t>
            </w:r>
          </w:p>
        </w:tc>
        <w:tc>
          <w:tcPr>
            <w:tcW w:type="dxa" w:w="1994"/>
          </w:tcPr>
          <w:p>
            <w:r>
              <w:rPr>
                <w:b w:val="0"/>
                <w:sz w:val="17"/>
              </w:rPr>
            </w:r>
            <w:r>
              <w:rPr>
                <w:b w:val="0"/>
                <w:i w:val="0"/>
                <w:sz w:val="17"/>
              </w:rPr>
              <w:t>3, 4, 5, 6, 7</w:t>
            </w:r>
          </w:p>
        </w:tc>
        <w:tc>
          <w:tcPr>
            <w:tcW w:type="dxa" w:w="1994"/>
          </w:tcPr>
          <w:p>
            <w:r>
              <w:rPr>
                <w:b w:val="0"/>
                <w:sz w:val="17"/>
              </w:rPr>
            </w:r>
            <w:r>
              <w:rPr>
                <w:b w:val="0"/>
                <w:i w:val="0"/>
                <w:sz w:val="17"/>
              </w:rPr>
              <w:t>1 to 8</w:t>
            </w:r>
          </w:p>
        </w:tc>
        <w:tc>
          <w:tcPr>
            <w:tcW w:type="dxa" w:w="1994"/>
          </w:tcPr>
          <w:p>
            <w:r>
              <w:rPr>
                <w:b w:val="0"/>
                <w:sz w:val="17"/>
              </w:rPr>
            </w:r>
            <w:r>
              <w:rPr>
                <w:b w:val="0"/>
                <w:i w:val="0"/>
                <w:sz w:val="17"/>
              </w:rPr>
              <w:t>About 3 days</w:t>
            </w:r>
          </w:p>
        </w:tc>
      </w:tr>
      <w:tr>
        <w:tc>
          <w:tcPr>
            <w:tcW w:type="dxa" w:w="1994"/>
          </w:tcPr>
          <w:p>
            <w:r>
              <w:rPr>
                <w:b w:val="0"/>
                <w:sz w:val="17"/>
              </w:rPr>
            </w:r>
            <w:r>
              <w:rPr>
                <w:b/>
                <w:i w:val="0"/>
                <w:sz w:val="17"/>
              </w:rPr>
              <w:t>2. Protect the locked months, and UAT mode</w:t>
            </w:r>
          </w:p>
        </w:tc>
        <w:tc>
          <w:tcPr>
            <w:tcW w:type="dxa" w:w="1994"/>
          </w:tcPr>
          <w:p>
            <w:r>
              <w:rPr>
                <w:b w:val="0"/>
                <w:sz w:val="17"/>
              </w:rPr>
            </w:r>
            <w:r>
              <w:rPr>
                <w:b w:val="0"/>
                <w:i w:val="0"/>
                <w:sz w:val="17"/>
              </w:rPr>
              <w:t>The no-back-dating rule: no change to a governed setting or rule takes effect inside a locked month except through reopen-and-restate with documents (decision S10). UAT mode: one maker-checker check for every workflow, the production guard, the UAT seeding, the self-approval label, the banner and the self-approvals report (decision S11). Both touch the governance service and share one release</w:t>
            </w:r>
          </w:p>
        </w:tc>
        <w:tc>
          <w:tcPr>
            <w:tcW w:type="dxa" w:w="1994"/>
          </w:tcPr>
          <w:p>
            <w:r>
              <w:rPr>
                <w:b w:val="0"/>
                <w:sz w:val="17"/>
              </w:rPr>
            </w:r>
            <w:r>
              <w:rPr>
                <w:b w:val="0"/>
                <w:i w:val="0"/>
                <w:sz w:val="17"/>
              </w:rPr>
              <w:t>8.8 item 4, 8.9</w:t>
            </w:r>
          </w:p>
        </w:tc>
        <w:tc>
          <w:tcPr>
            <w:tcW w:type="dxa" w:w="1994"/>
          </w:tcPr>
          <w:p>
            <w:r>
              <w:rPr>
                <w:b w:val="0"/>
                <w:sz w:val="17"/>
              </w:rPr>
            </w:r>
            <w:r>
              <w:rPr>
                <w:b w:val="0"/>
                <w:i w:val="0"/>
                <w:sz w:val="17"/>
              </w:rPr>
              <w:t>18, 20 to 23</w:t>
            </w:r>
          </w:p>
        </w:tc>
        <w:tc>
          <w:tcPr>
            <w:tcW w:type="dxa" w:w="1994"/>
          </w:tcPr>
          <w:p>
            <w:r>
              <w:rPr>
                <w:b w:val="0"/>
                <w:sz w:val="17"/>
              </w:rPr>
            </w:r>
            <w:r>
              <w:rPr>
                <w:b w:val="0"/>
                <w:i w:val="0"/>
                <w:sz w:val="17"/>
              </w:rPr>
              <w:t>About 2 to 2.5 days</w:t>
            </w:r>
          </w:p>
        </w:tc>
      </w:tr>
      <w:tr>
        <w:tc>
          <w:tcPr>
            <w:tcW w:type="dxa" w:w="1994"/>
          </w:tcPr>
          <w:p>
            <w:r>
              <w:rPr>
                <w:b w:val="0"/>
                <w:sz w:val="17"/>
              </w:rPr>
            </w:r>
            <w:r>
              <w:rPr>
                <w:b/>
                <w:i w:val="0"/>
                <w:sz w:val="17"/>
              </w:rPr>
              <w:t>3. Fee rulebook control</w:t>
            </w:r>
          </w:p>
        </w:tc>
        <w:tc>
          <w:tcPr>
            <w:tcW w:type="dxa" w:w="1994"/>
          </w:tcPr>
          <w:p>
            <w:r>
              <w:rPr>
                <w:b w:val="0"/>
                <w:sz w:val="17"/>
              </w:rPr>
            </w:r>
            <w:r>
              <w:rPr>
                <w:b w:val="0"/>
                <w:i w:val="0"/>
                <w:sz w:val="17"/>
              </w:rPr>
              <w:t>Second-person approval with a reason, reject and withdraw, switching a rule on or off as a proposal; then the re-approval of every rule the matcher uses (decision S9), so that the fee review can start on controlled rules</w:t>
            </w:r>
          </w:p>
        </w:tc>
        <w:tc>
          <w:tcPr>
            <w:tcW w:type="dxa" w:w="1994"/>
          </w:tcPr>
          <w:p>
            <w:r>
              <w:rPr>
                <w:b w:val="0"/>
                <w:sz w:val="17"/>
              </w:rPr>
            </w:r>
            <w:r>
              <w:rPr>
                <w:b w:val="0"/>
                <w:i w:val="0"/>
                <w:sz w:val="17"/>
              </w:rPr>
              <w:t>8.6 (fee rulebook)</w:t>
            </w:r>
          </w:p>
        </w:tc>
        <w:tc>
          <w:tcPr>
            <w:tcW w:type="dxa" w:w="1994"/>
          </w:tcPr>
          <w:p>
            <w:r>
              <w:rPr>
                <w:b w:val="0"/>
                <w:sz w:val="17"/>
              </w:rPr>
            </w:r>
            <w:r>
              <w:rPr>
                <w:b w:val="0"/>
                <w:i w:val="0"/>
                <w:sz w:val="17"/>
              </w:rPr>
              <w:t>14</w:t>
            </w:r>
          </w:p>
        </w:tc>
        <w:tc>
          <w:tcPr>
            <w:tcW w:type="dxa" w:w="1994"/>
          </w:tcPr>
          <w:p>
            <w:r>
              <w:rPr>
                <w:b w:val="0"/>
                <w:sz w:val="17"/>
              </w:rPr>
            </w:r>
            <w:r>
              <w:rPr>
                <w:b w:val="0"/>
                <w:i w:val="0"/>
                <w:sz w:val="17"/>
              </w:rPr>
              <w:t>About half a day</w:t>
            </w:r>
          </w:p>
        </w:tc>
      </w:tr>
      <w:tr>
        <w:tc>
          <w:tcPr>
            <w:tcW w:type="dxa" w:w="1994"/>
          </w:tcPr>
          <w:p>
            <w:r>
              <w:rPr>
                <w:b w:val="0"/>
                <w:sz w:val="17"/>
              </w:rPr>
            </w:r>
            <w:r>
              <w:rPr>
                <w:b/>
                <w:i w:val="0"/>
                <w:sz w:val="17"/>
              </w:rPr>
              <w:t>3a. Decisions pack</w:t>
            </w:r>
          </w:p>
        </w:tc>
        <w:tc>
          <w:tcPr>
            <w:tcW w:type="dxa" w:w="1994"/>
          </w:tcPr>
          <w:p>
            <w:r>
              <w:rPr>
                <w:b w:val="0"/>
                <w:sz w:val="17"/>
              </w:rPr>
            </w:r>
            <w:r>
              <w:rPr>
                <w:b w:val="0"/>
                <w:i w:val="0"/>
                <w:sz w:val="17"/>
              </w:rPr>
              <w:t>The export and the replay of section 8.10, the replay report and the tie-out; then an export from MAIIC's database by MAIIC ICT and a bootstrap with it on a throw-away database, to show the decisions carried</w:t>
            </w:r>
          </w:p>
        </w:tc>
        <w:tc>
          <w:tcPr>
            <w:tcW w:type="dxa" w:w="1994"/>
          </w:tcPr>
          <w:p>
            <w:r>
              <w:rPr>
                <w:b w:val="0"/>
                <w:sz w:val="17"/>
              </w:rPr>
            </w:r>
            <w:r>
              <w:rPr>
                <w:b w:val="0"/>
                <w:i w:val="0"/>
                <w:sz w:val="17"/>
              </w:rPr>
              <w:t>8.10</w:t>
            </w:r>
          </w:p>
        </w:tc>
        <w:tc>
          <w:tcPr>
            <w:tcW w:type="dxa" w:w="1994"/>
          </w:tcPr>
          <w:p>
            <w:r>
              <w:rPr>
                <w:b w:val="0"/>
                <w:sz w:val="17"/>
              </w:rPr>
            </w:r>
            <w:r>
              <w:rPr>
                <w:b w:val="0"/>
                <w:i w:val="0"/>
                <w:sz w:val="17"/>
              </w:rPr>
              <w:t>24 to 28</w:t>
            </w:r>
          </w:p>
        </w:tc>
        <w:tc>
          <w:tcPr>
            <w:tcW w:type="dxa" w:w="1994"/>
          </w:tcPr>
          <w:p>
            <w:r>
              <w:rPr>
                <w:b w:val="0"/>
                <w:sz w:val="17"/>
              </w:rPr>
            </w:r>
            <w:r>
              <w:rPr>
                <w:b w:val="0"/>
                <w:i w:val="0"/>
                <w:sz w:val="17"/>
              </w:rPr>
              <w:t>About 1 to 1.5 days</w:t>
            </w:r>
          </w:p>
        </w:tc>
      </w:tr>
      <w:tr>
        <w:tc>
          <w:tcPr>
            <w:tcW w:type="dxa" w:w="1994"/>
          </w:tcPr>
          <w:p>
            <w:r>
              <w:rPr>
                <w:b w:val="0"/>
                <w:sz w:val="17"/>
              </w:rPr>
            </w:r>
            <w:r>
              <w:rPr>
                <w:b/>
                <w:i w:val="0"/>
                <w:sz w:val="17"/>
              </w:rPr>
              <w:t>4. The governance and audit record</w:t>
            </w:r>
          </w:p>
        </w:tc>
        <w:tc>
          <w:tcPr>
            <w:tcW w:type="dxa" w:w="1994"/>
          </w:tcPr>
          <w:p>
            <w:r>
              <w:rPr>
                <w:b w:val="0"/>
                <w:sz w:val="17"/>
              </w:rPr>
            </w:r>
            <w:r>
              <w:rPr>
                <w:b w:val="0"/>
                <w:i w:val="0"/>
                <w:sz w:val="17"/>
              </w:rPr>
              <w:t>The Governance Centre change log (reject and withdraw, seeding entries, supporting documents on private storage, required evidence, history view, append-only chained log); the other approvals on the same log and document store, and the Approvals view; the run record, run numbers on result rows, run of record at lock, the two reports and re-performance</w:t>
            </w:r>
          </w:p>
        </w:tc>
        <w:tc>
          <w:tcPr>
            <w:tcW w:type="dxa" w:w="1994"/>
          </w:tcPr>
          <w:p>
            <w:r>
              <w:rPr>
                <w:b w:val="0"/>
                <w:sz w:val="17"/>
              </w:rPr>
            </w:r>
            <w:r>
              <w:rPr>
                <w:b w:val="0"/>
                <w:i w:val="0"/>
                <w:sz w:val="17"/>
              </w:rPr>
              <w:t>8.1 to 8.5, 8.6, 8.7, 8.8</w:t>
            </w:r>
          </w:p>
        </w:tc>
        <w:tc>
          <w:tcPr>
            <w:tcW w:type="dxa" w:w="1994"/>
          </w:tcPr>
          <w:p>
            <w:r>
              <w:rPr>
                <w:b w:val="0"/>
                <w:sz w:val="17"/>
              </w:rPr>
            </w:r>
            <w:r>
              <w:rPr>
                <w:b w:val="0"/>
                <w:i w:val="0"/>
                <w:sz w:val="17"/>
              </w:rPr>
              <w:t>9 to 13, 15 to 17, 19</w:t>
            </w:r>
          </w:p>
        </w:tc>
        <w:tc>
          <w:tcPr>
            <w:tcW w:type="dxa" w:w="1994"/>
          </w:tcPr>
          <w:p>
            <w:r>
              <w:rPr>
                <w:b w:val="0"/>
                <w:sz w:val="17"/>
              </w:rPr>
            </w:r>
            <w:r>
              <w:rPr>
                <w:b w:val="0"/>
                <w:i w:val="0"/>
                <w:sz w:val="17"/>
              </w:rPr>
              <w:t>About 5.5 days</w:t>
            </w:r>
          </w:p>
        </w:tc>
      </w:tr>
      <w:tr>
        <w:tc>
          <w:tcPr>
            <w:tcW w:type="dxa" w:w="1994"/>
          </w:tcPr>
          <w:p>
            <w:r>
              <w:rPr>
                <w:b w:val="0"/>
                <w:sz w:val="17"/>
              </w:rPr>
            </w:r>
            <w:r>
              <w:rPr>
                <w:b w:val="0"/>
                <w:i w:val="0"/>
                <w:sz w:val="17"/>
              </w:rPr>
              <w:t>Later</w:t>
            </w:r>
          </w:p>
        </w:tc>
        <w:tc>
          <w:tcPr>
            <w:tcW w:type="dxa" w:w="1994"/>
          </w:tcPr>
          <w:p>
            <w:r>
              <w:rPr>
                <w:b w:val="0"/>
                <w:sz w:val="17"/>
              </w:rPr>
            </w:r>
            <w:r>
              <w:rPr>
                <w:b w:val="0"/>
                <w:i w:val="0"/>
                <w:sz w:val="17"/>
              </w:rPr>
              <w:t>Setting 9, once each loan's PD at origination is kept</w:t>
            </w:r>
          </w:p>
        </w:tc>
        <w:tc>
          <w:tcPr>
            <w:tcW w:type="dxa" w:w="1994"/>
          </w:tcPr>
          <w:p>
            <w:r>
              <w:rPr>
                <w:b w:val="0"/>
                <w:sz w:val="17"/>
              </w:rPr>
            </w:r>
            <w:r>
              <w:rPr>
                <w:b w:val="0"/>
                <w:i w:val="0"/>
                <w:sz w:val="17"/>
              </w:rPr>
              <w:t>3</w:t>
            </w:r>
          </w:p>
        </w:tc>
        <w:tc>
          <w:tcPr>
            <w:tcW w:type="dxa" w:w="1994"/>
          </w:tcPr>
          <w:p>
            <w:r>
              <w:rPr>
                <w:b w:val="0"/>
                <w:sz w:val="17"/>
              </w:rPr>
            </w:r>
          </w:p>
        </w:tc>
        <w:tc>
          <w:tcPr>
            <w:tcW w:type="dxa" w:w="1994"/>
          </w:tcPr>
          <w:p>
            <w:r>
              <w:rPr>
                <w:b w:val="0"/>
                <w:sz w:val="17"/>
              </w:rPr>
            </w:r>
            <w:r>
              <w:rPr>
                <w:b w:val="0"/>
                <w:i w:val="0"/>
                <w:sz w:val="17"/>
              </w:rPr>
              <w:t>To be planned</w:t>
            </w:r>
          </w:p>
        </w:tc>
      </w:tr>
    </w:tbl>
    <w:p/>
    <w:p>
      <w:pPr>
        <w:spacing w:after="120"/>
      </w:pPr>
      <w:r>
        <w:rPr>
          <w:b w:val="0"/>
          <w:i w:val="0"/>
        </w:rPr>
        <w:t>The total is about 12 to 13 days of build, with the decisions pack (phase 3a, added on 15 October 2026). Governed staging is merged and released after about 3 days; the protection of locked months and UAT mode about 2.5 days later, after which testing on MAIIC's server can run without waiting for a second person on each step; the controlled fee rulebook after about 6 days in all. Until phase 2 is released, a setting can still be back-dated into a locked month (section 8.8), so no governed change should be approved with an effective date inside a locked month in the meantime. The fee rulebook joins the shared maker-checker check of UAT mode when phase 3 gives it maker-checker. Not included: the time to resolve the bootstrap's slow final steps seen on 15 October 2026, which must be fixed before the first merge, since every merge and release depends on the bootstrap passing.</w:t>
      </w:r>
    </w:p>
    <w:p>
      <w:pPr>
        <w:pStyle w:val="Heading3"/>
      </w:pPr>
      <w:r>
        <w:t>11.1 How the build is run</w:t>
      </w:r>
    </w:p>
    <w:p>
      <w:pPr>
        <w:spacing w:after="120"/>
      </w:pPr>
      <w:r>
        <w:rPr>
          <w:b/>
          <w:i w:val="0"/>
        </w:rPr>
        <w:t>One branch.</w:t>
      </w:r>
      <w:r>
        <w:rPr>
          <w:b w:val="0"/>
          <w:i w:val="0"/>
        </w:rPr>
        <w:t xml:space="preserve"> The build is done on a branch of its own, </w:t>
      </w:r>
      <w:r>
        <w:rPr>
          <w:rFonts w:ascii="Consolas" w:hAnsi="Consolas"/>
          <w:b w:val="0"/>
          <w:i w:val="0"/>
          <w:sz w:val="18"/>
        </w:rPr>
        <w:t>staging-governance</w:t>
      </w:r>
      <w:r>
        <w:rPr>
          <w:b w:val="0"/>
          <w:i w:val="0"/>
        </w:rPr>
        <w:t>, taken from the main development branch (</w:t>
      </w:r>
      <w:r>
        <w:rPr>
          <w:rFonts w:ascii="Consolas" w:hAnsi="Consolas"/>
          <w:b w:val="0"/>
          <w:i w:val="0"/>
          <w:sz w:val="18"/>
        </w:rPr>
        <w:t>eir_revenue_recognition</w:t>
      </w:r>
      <w:r>
        <w:rPr>
          <w:b w:val="0"/>
          <w:i w:val="0"/>
        </w:rPr>
        <w:t>) when the build starts. The branch is pushed to the repository after each section so that the work is backed up and visible. It is brought up to date with the main branch (rebased) at the start of each section, so that colleagues' work in the same files is taken in as it happens and each merge is clean.</w:t>
      </w:r>
    </w:p>
    <w:p>
      <w:pPr>
        <w:spacing w:after="120"/>
      </w:pPr>
      <w:r>
        <w:rPr>
          <w:b/>
          <w:i w:val="0"/>
        </w:rPr>
        <w:t>A confirmation before each section starts.</w:t>
      </w:r>
      <w:r>
        <w:rPr>
          <w:b w:val="0"/>
          <w:i w:val="0"/>
        </w:rPr>
        <w:t xml:space="preserve"> Before work on a section begins, Dupleix states what the section will build, the files it will change, the tests it will add and its estimated size, and waits for Edward's confirmation to start. A section can be deferred, reordered or narrowed at this point.</w:t>
      </w:r>
    </w:p>
    <w:p>
      <w:pPr>
        <w:spacing w:after="120"/>
      </w:pPr>
      <w:r>
        <w:rPr>
          <w:b/>
          <w:i w:val="0"/>
        </w:rPr>
        <w:t>A confirmation when each section ends.</w:t>
      </w:r>
      <w:r>
        <w:rPr>
          <w:b w:val="0"/>
          <w:i w:val="0"/>
        </w:rPr>
        <w:t xml:space="preserve"> When a section is built, Dupleix reports what was built, the commits, the tests and their results, the bootstrap result on the branch (the verify checks, section 6), and anything found along the way that changes the plan, and waits for Edward's confirmation that the section is complete. Only then does the next section start. A section that is not confirmed is reworked on the branch.</w:t>
      </w:r>
    </w:p>
    <w:p>
      <w:pPr>
        <w:spacing w:after="120"/>
      </w:pPr>
      <w:r>
        <w:rPr>
          <w:b/>
          <w:i w:val="0"/>
        </w:rPr>
        <w:t>A merge at the end of each phase.</w:t>
      </w:r>
      <w:r>
        <w:rPr>
          <w:b w:val="0"/>
          <w:i w:val="0"/>
        </w:rPr>
        <w:t xml:space="preserve"> When every section of a phase is confirmed, the branch is rebased onto the main branch, the full test suite and a bootstrap on a fresh database are run (the verify checks must pass, or move only as section 6 allows), and the phase is merged into </w:t>
      </w:r>
      <w:r>
        <w:rPr>
          <w:rFonts w:ascii="Consolas" w:hAnsi="Consolas"/>
          <w:b w:val="0"/>
          <w:i w:val="0"/>
          <w:sz w:val="18"/>
        </w:rPr>
        <w:t>eir_revenue_recognition</w:t>
      </w:r>
      <w:r>
        <w:rPr>
          <w:b w:val="0"/>
          <w:i w:val="0"/>
        </w:rPr>
        <w:t xml:space="preserve"> and </w:t>
      </w:r>
      <w:r>
        <w:rPr>
          <w:rFonts w:ascii="Consolas" w:hAnsi="Consolas"/>
          <w:b w:val="0"/>
          <w:i w:val="0"/>
          <w:sz w:val="18"/>
        </w:rPr>
        <w:t>master</w:t>
      </w:r>
      <w:r>
        <w:rPr>
          <w:b w:val="0"/>
          <w:i w:val="0"/>
        </w:rPr>
        <w:t xml:space="preserve"> with a merge note listing its sections, their confirmations and the decisions (section 9) they rest on. The phase is then released to MAIIC's server by the release steps of the integration document (section 2.2: push, pull, migrate, bootstrap with the verify checks passing). The next phase continues on the same branch, rebased onto the merged main branch.</w:t>
      </w:r>
    </w:p>
    <w:p>
      <w:pPr>
        <w:spacing w:after="120"/>
      </w:pPr>
      <w:r>
        <w:rPr>
          <w:b/>
          <w:i w:val="0"/>
        </w:rPr>
        <w:t>The sections and merges, in order.</w:t>
      </w:r>
      <w:r>
        <w:rPr>
          <w:b w:val="0"/>
          <w:i w:val="0"/>
        </w:rPr>
        <w:t xml:space="preserve"> Each section row is one start-and-end confirmation; each merge row is one merge and release: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Section</w:t>
            </w:r>
          </w:p>
        </w:tc>
        <w:tc>
          <w:tcPr>
            <w:tcW w:type="dxa" w:w="2493"/>
            <w:shd w:val="clear" w:color="auto" w:fill="1B2A41"/>
          </w:tcPr>
          <w:p>
            <w:r>
              <w:rPr>
                <w:b/>
                <w:color w:val="FFFFFF"/>
                <w:sz w:val="17"/>
              </w:rPr>
            </w:r>
            <w:r>
              <w:rPr>
                <w:b/>
                <w:i w:val="0"/>
                <w:color w:val="FFFFFF"/>
                <w:sz w:val="17"/>
              </w:rPr>
              <w:t>Phase</w:t>
            </w:r>
          </w:p>
        </w:tc>
        <w:tc>
          <w:tcPr>
            <w:tcW w:type="dxa" w:w="2493"/>
            <w:shd w:val="clear" w:color="auto" w:fill="1B2A41"/>
          </w:tcPr>
          <w:p>
            <w:r>
              <w:rPr>
                <w:b/>
                <w:color w:val="FFFFFF"/>
                <w:sz w:val="17"/>
              </w:rPr>
            </w:r>
            <w:r>
              <w:rPr>
                <w:b/>
                <w:i w:val="0"/>
                <w:color w:val="FFFFFF"/>
                <w:sz w:val="17"/>
              </w:rPr>
              <w:t>Acceptance tests closed</w:t>
            </w:r>
          </w:p>
        </w:tc>
      </w:tr>
      <w:tr>
        <w:tc>
          <w:tcPr>
            <w:tcW w:type="dxa" w:w="2493"/>
          </w:tcPr>
          <w:p>
            <w:r>
              <w:rPr>
                <w:b w:val="0"/>
                <w:sz w:val="17"/>
              </w:rPr>
            </w:r>
            <w:r>
              <w:rPr>
                <w:b w:val="0"/>
                <w:i w:val="0"/>
                <w:sz w:val="17"/>
              </w:rPr>
              <w:t>1</w:t>
            </w:r>
          </w:p>
        </w:tc>
        <w:tc>
          <w:tcPr>
            <w:tcW w:type="dxa" w:w="2493"/>
          </w:tcPr>
          <w:p>
            <w:r>
              <w:rPr>
                <w:b w:val="0"/>
                <w:sz w:val="17"/>
              </w:rPr>
            </w:r>
            <w:r>
              <w:rPr>
                <w:b w:val="0"/>
                <w:i w:val="0"/>
                <w:sz w:val="17"/>
              </w:rPr>
              <w:t>3: the settings and presets</w:t>
            </w:r>
          </w:p>
        </w:tc>
        <w:tc>
          <w:tcPr>
            <w:tcW w:type="dxa" w:w="2493"/>
          </w:tcPr>
          <w:p>
            <w:r>
              <w:rPr>
                <w:b w:val="0"/>
                <w:sz w:val="17"/>
              </w:rPr>
            </w:r>
            <w:r>
              <w:rPr>
                <w:b w:val="0"/>
                <w:i w:val="0"/>
                <w:sz w:val="17"/>
              </w:rPr>
              <w:t>1</w:t>
            </w:r>
          </w:p>
        </w:tc>
        <w:tc>
          <w:tcPr>
            <w:tcW w:type="dxa" w:w="2493"/>
          </w:tcPr>
          <w:p>
            <w:r>
              <w:rPr>
                <w:b w:val="0"/>
                <w:sz w:val="17"/>
              </w:rPr>
            </w:r>
            <w:r>
              <w:rPr>
                <w:b w:val="0"/>
                <w:i w:val="0"/>
                <w:sz w:val="17"/>
              </w:rPr>
              <w:t>1 to 3, 7</w:t>
            </w:r>
          </w:p>
        </w:tc>
      </w:tr>
      <w:tr>
        <w:tc>
          <w:tcPr>
            <w:tcW w:type="dxa" w:w="2493"/>
          </w:tcPr>
          <w:p>
            <w:r>
              <w:rPr>
                <w:b w:val="0"/>
                <w:sz w:val="17"/>
              </w:rPr>
            </w:r>
            <w:r>
              <w:rPr>
                <w:b w:val="0"/>
                <w:i w:val="0"/>
                <w:sz w:val="17"/>
              </w:rPr>
              <w:t>2</w:t>
            </w:r>
          </w:p>
        </w:tc>
        <w:tc>
          <w:tcPr>
            <w:tcW w:type="dxa" w:w="2493"/>
          </w:tcPr>
          <w:p>
            <w:r>
              <w:rPr>
                <w:b w:val="0"/>
                <w:sz w:val="17"/>
              </w:rPr>
            </w:r>
            <w:r>
              <w:rPr>
                <w:b w:val="0"/>
                <w:i w:val="0"/>
                <w:sz w:val="17"/>
              </w:rPr>
              <w:t>5: the separate staging day count, the RBM return on the directive's count</w:t>
            </w:r>
          </w:p>
        </w:tc>
        <w:tc>
          <w:tcPr>
            <w:tcW w:type="dxa" w:w="2493"/>
          </w:tcPr>
          <w:p>
            <w:r>
              <w:rPr>
                <w:b w:val="0"/>
                <w:sz w:val="17"/>
              </w:rPr>
            </w:r>
            <w:r>
              <w:rPr>
                <w:b w:val="0"/>
                <w:i w:val="0"/>
                <w:sz w:val="17"/>
              </w:rPr>
              <w:t>1</w:t>
            </w:r>
          </w:p>
        </w:tc>
        <w:tc>
          <w:tcPr>
            <w:tcW w:type="dxa" w:w="2493"/>
          </w:tcPr>
          <w:p>
            <w:r>
              <w:rPr>
                <w:b w:val="0"/>
                <w:sz w:val="17"/>
              </w:rPr>
            </w:r>
            <w:r>
              <w:rPr>
                <w:b w:val="0"/>
                <w:i w:val="0"/>
                <w:sz w:val="17"/>
              </w:rPr>
              <w:t>6</w:t>
            </w:r>
          </w:p>
        </w:tc>
      </w:tr>
      <w:tr>
        <w:tc>
          <w:tcPr>
            <w:tcW w:type="dxa" w:w="2493"/>
          </w:tcPr>
          <w:p>
            <w:r>
              <w:rPr>
                <w:b w:val="0"/>
                <w:sz w:val="17"/>
              </w:rPr>
            </w:r>
            <w:r>
              <w:rPr>
                <w:b w:val="0"/>
                <w:i w:val="0"/>
                <w:sz w:val="17"/>
              </w:rPr>
              <w:t>3</w:t>
            </w:r>
          </w:p>
        </w:tc>
        <w:tc>
          <w:tcPr>
            <w:tcW w:type="dxa" w:w="2493"/>
          </w:tcPr>
          <w:p>
            <w:r>
              <w:rPr>
                <w:b w:val="0"/>
                <w:sz w:val="17"/>
              </w:rPr>
            </w:r>
            <w:r>
              <w:rPr>
                <w:b w:val="0"/>
                <w:i w:val="0"/>
                <w:sz w:val="17"/>
              </w:rPr>
              <w:t>4: the staging comparison run</w:t>
            </w:r>
          </w:p>
        </w:tc>
        <w:tc>
          <w:tcPr>
            <w:tcW w:type="dxa" w:w="2493"/>
          </w:tcPr>
          <w:p>
            <w:r>
              <w:rPr>
                <w:b w:val="0"/>
                <w:sz w:val="17"/>
              </w:rPr>
            </w:r>
            <w:r>
              <w:rPr>
                <w:b w:val="0"/>
                <w:i w:val="0"/>
                <w:sz w:val="17"/>
              </w:rPr>
              <w:t>1</w:t>
            </w:r>
          </w:p>
        </w:tc>
        <w:tc>
          <w:tcPr>
            <w:tcW w:type="dxa" w:w="2493"/>
          </w:tcPr>
          <w:p>
            <w:r>
              <w:rPr>
                <w:b w:val="0"/>
                <w:sz w:val="17"/>
              </w:rPr>
            </w:r>
            <w:r>
              <w:rPr>
                <w:b w:val="0"/>
                <w:i w:val="0"/>
                <w:sz w:val="17"/>
              </w:rPr>
              <w:t>4, 5</w:t>
            </w:r>
          </w:p>
        </w:tc>
      </w:tr>
      <w:tr>
        <w:tc>
          <w:tcPr>
            <w:tcW w:type="dxa" w:w="2493"/>
          </w:tcPr>
          <w:p>
            <w:r>
              <w:rPr>
                <w:b w:val="0"/>
                <w:sz w:val="17"/>
              </w:rPr>
            </w:r>
            <w:r>
              <w:rPr>
                <w:b/>
                <w:i w:val="0"/>
                <w:sz w:val="17"/>
              </w:rPr>
              <w:t>M1</w:t>
            </w:r>
          </w:p>
        </w:tc>
        <w:tc>
          <w:tcPr>
            <w:tcW w:type="dxa" w:w="2493"/>
          </w:tcPr>
          <w:p>
            <w:r>
              <w:rPr>
                <w:b w:val="0"/>
                <w:sz w:val="17"/>
              </w:rPr>
            </w:r>
            <w:r>
              <w:rPr>
                <w:b/>
                <w:i w:val="0"/>
                <w:sz w:val="17"/>
              </w:rPr>
              <w:t>Merge and release phase 1</w:t>
            </w:r>
            <w:r>
              <w:rPr>
                <w:b w:val="0"/>
                <w:i w:val="0"/>
                <w:sz w:val="17"/>
              </w:rPr>
              <w:t>, then the comparison runs for December 2025 and September 2026 on MAIIC's server</w:t>
            </w:r>
          </w:p>
        </w:tc>
        <w:tc>
          <w:tcPr>
            <w:tcW w:type="dxa" w:w="2493"/>
          </w:tcPr>
          <w:p>
            <w:r>
              <w:rPr>
                <w:b w:val="0"/>
                <w:sz w:val="17"/>
              </w:rPr>
            </w:r>
            <w:r>
              <w:rPr>
                <w:b w:val="0"/>
                <w:i w:val="0"/>
                <w:sz w:val="17"/>
              </w:rPr>
              <w:t>1</w:t>
            </w:r>
          </w:p>
        </w:tc>
        <w:tc>
          <w:tcPr>
            <w:tcW w:type="dxa" w:w="2493"/>
          </w:tcPr>
          <w:p>
            <w:r>
              <w:rPr>
                <w:b w:val="0"/>
                <w:sz w:val="17"/>
              </w:rPr>
            </w:r>
            <w:r>
              <w:rPr>
                <w:b w:val="0"/>
                <w:i w:val="0"/>
                <w:sz w:val="17"/>
              </w:rPr>
              <w:t>1 to 8</w:t>
            </w:r>
          </w:p>
        </w:tc>
      </w:tr>
      <w:tr>
        <w:tc>
          <w:tcPr>
            <w:tcW w:type="dxa" w:w="2493"/>
          </w:tcPr>
          <w:p>
            <w:r>
              <w:rPr>
                <w:b w:val="0"/>
                <w:sz w:val="17"/>
              </w:rPr>
            </w:r>
            <w:r>
              <w:rPr>
                <w:b w:val="0"/>
                <w:i w:val="0"/>
                <w:sz w:val="17"/>
              </w:rPr>
              <w:t>4</w:t>
            </w:r>
          </w:p>
        </w:tc>
        <w:tc>
          <w:tcPr>
            <w:tcW w:type="dxa" w:w="2493"/>
          </w:tcPr>
          <w:p>
            <w:r>
              <w:rPr>
                <w:b w:val="0"/>
                <w:sz w:val="17"/>
              </w:rPr>
            </w:r>
            <w:r>
              <w:rPr>
                <w:b w:val="0"/>
                <w:i w:val="0"/>
                <w:sz w:val="17"/>
              </w:rPr>
              <w:t>8.8 item 4: no back-dating into a locked month</w:t>
            </w:r>
          </w:p>
        </w:tc>
        <w:tc>
          <w:tcPr>
            <w:tcW w:type="dxa" w:w="2493"/>
          </w:tcPr>
          <w:p>
            <w:r>
              <w:rPr>
                <w:b w:val="0"/>
                <w:sz w:val="17"/>
              </w:rPr>
            </w:r>
            <w:r>
              <w:rPr>
                <w:b w:val="0"/>
                <w:i w:val="0"/>
                <w:sz w:val="17"/>
              </w:rPr>
              <w:t>2</w:t>
            </w:r>
          </w:p>
        </w:tc>
        <w:tc>
          <w:tcPr>
            <w:tcW w:type="dxa" w:w="2493"/>
          </w:tcPr>
          <w:p>
            <w:r>
              <w:rPr>
                <w:b w:val="0"/>
                <w:sz w:val="17"/>
              </w:rPr>
            </w:r>
            <w:r>
              <w:rPr>
                <w:b w:val="0"/>
                <w:i w:val="0"/>
                <w:sz w:val="17"/>
              </w:rPr>
              <w:t>18</w:t>
            </w:r>
          </w:p>
        </w:tc>
      </w:tr>
      <w:tr>
        <w:tc>
          <w:tcPr>
            <w:tcW w:type="dxa" w:w="2493"/>
          </w:tcPr>
          <w:p>
            <w:r>
              <w:rPr>
                <w:b w:val="0"/>
                <w:sz w:val="17"/>
              </w:rPr>
            </w:r>
            <w:r>
              <w:rPr>
                <w:b w:val="0"/>
                <w:i w:val="0"/>
                <w:sz w:val="17"/>
              </w:rPr>
              <w:t>5</w:t>
            </w:r>
          </w:p>
        </w:tc>
        <w:tc>
          <w:tcPr>
            <w:tcW w:type="dxa" w:w="2493"/>
          </w:tcPr>
          <w:p>
            <w:r>
              <w:rPr>
                <w:b w:val="0"/>
                <w:sz w:val="17"/>
              </w:rPr>
            </w:r>
            <w:r>
              <w:rPr>
                <w:b w:val="0"/>
                <w:i w:val="0"/>
                <w:sz w:val="17"/>
              </w:rPr>
              <w:t>8.9: UAT mode</w:t>
            </w:r>
          </w:p>
        </w:tc>
        <w:tc>
          <w:tcPr>
            <w:tcW w:type="dxa" w:w="2493"/>
          </w:tcPr>
          <w:p>
            <w:r>
              <w:rPr>
                <w:b w:val="0"/>
                <w:sz w:val="17"/>
              </w:rPr>
            </w:r>
            <w:r>
              <w:rPr>
                <w:b w:val="0"/>
                <w:i w:val="0"/>
                <w:sz w:val="17"/>
              </w:rPr>
              <w:t>2</w:t>
            </w:r>
          </w:p>
        </w:tc>
        <w:tc>
          <w:tcPr>
            <w:tcW w:type="dxa" w:w="2493"/>
          </w:tcPr>
          <w:p>
            <w:r>
              <w:rPr>
                <w:b w:val="0"/>
                <w:sz w:val="17"/>
              </w:rPr>
            </w:r>
            <w:r>
              <w:rPr>
                <w:b w:val="0"/>
                <w:i w:val="0"/>
                <w:sz w:val="17"/>
              </w:rPr>
              <w:t>20 to 23</w:t>
            </w:r>
          </w:p>
        </w:tc>
      </w:tr>
      <w:tr>
        <w:tc>
          <w:tcPr>
            <w:tcW w:type="dxa" w:w="2493"/>
          </w:tcPr>
          <w:p>
            <w:r>
              <w:rPr>
                <w:b w:val="0"/>
                <w:sz w:val="17"/>
              </w:rPr>
            </w:r>
            <w:r>
              <w:rPr>
                <w:b/>
                <w:i w:val="0"/>
                <w:sz w:val="17"/>
              </w:rPr>
              <w:t>M2</w:t>
            </w:r>
          </w:p>
        </w:tc>
        <w:tc>
          <w:tcPr>
            <w:tcW w:type="dxa" w:w="2493"/>
          </w:tcPr>
          <w:p>
            <w:r>
              <w:rPr>
                <w:b w:val="0"/>
                <w:sz w:val="17"/>
              </w:rPr>
            </w:r>
            <w:r>
              <w:rPr>
                <w:b/>
                <w:i w:val="0"/>
                <w:sz w:val="17"/>
              </w:rPr>
              <w:t>Merge and release phase 2</w:t>
            </w:r>
          </w:p>
        </w:tc>
        <w:tc>
          <w:tcPr>
            <w:tcW w:type="dxa" w:w="2493"/>
          </w:tcPr>
          <w:p>
            <w:r>
              <w:rPr>
                <w:b w:val="0"/>
                <w:sz w:val="17"/>
              </w:rPr>
            </w:r>
            <w:r>
              <w:rPr>
                <w:b w:val="0"/>
                <w:i w:val="0"/>
                <w:sz w:val="17"/>
              </w:rPr>
              <w:t>2</w:t>
            </w:r>
          </w:p>
        </w:tc>
        <w:tc>
          <w:tcPr>
            <w:tcW w:type="dxa" w:w="2493"/>
          </w:tcPr>
          <w:p>
            <w:r>
              <w:rPr>
                <w:b w:val="0"/>
                <w:sz w:val="17"/>
              </w:rPr>
            </w:r>
            <w:r>
              <w:rPr>
                <w:b w:val="0"/>
                <w:i w:val="0"/>
                <w:sz w:val="17"/>
              </w:rPr>
              <w:t>18, 20 to 23 re-run on the merged code</w:t>
            </w:r>
          </w:p>
        </w:tc>
      </w:tr>
      <w:tr>
        <w:tc>
          <w:tcPr>
            <w:tcW w:type="dxa" w:w="2493"/>
          </w:tcPr>
          <w:p>
            <w:r>
              <w:rPr>
                <w:b w:val="0"/>
                <w:sz w:val="17"/>
              </w:rPr>
            </w:r>
            <w:r>
              <w:rPr>
                <w:b w:val="0"/>
                <w:i w:val="0"/>
                <w:sz w:val="17"/>
              </w:rPr>
              <w:t>6</w:t>
            </w:r>
          </w:p>
        </w:tc>
        <w:tc>
          <w:tcPr>
            <w:tcW w:type="dxa" w:w="2493"/>
          </w:tcPr>
          <w:p>
            <w:r>
              <w:rPr>
                <w:b w:val="0"/>
                <w:sz w:val="17"/>
              </w:rPr>
            </w:r>
            <w:r>
              <w:rPr>
                <w:b w:val="0"/>
                <w:i w:val="0"/>
                <w:sz w:val="17"/>
              </w:rPr>
              <w:t>8.6: fee rulebook control, then the re-approval of the rules in use (decision S9)</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c>
          <w:tcPr>
            <w:tcW w:type="dxa" w:w="2493"/>
          </w:tcPr>
          <w:p>
            <w:r>
              <w:rPr>
                <w:b w:val="0"/>
                <w:sz w:val="17"/>
              </w:rPr>
            </w:r>
            <w:r>
              <w:rPr>
                <w:b/>
                <w:i w:val="0"/>
                <w:sz w:val="17"/>
              </w:rPr>
              <w:t>M3</w:t>
            </w:r>
          </w:p>
        </w:tc>
        <w:tc>
          <w:tcPr>
            <w:tcW w:type="dxa" w:w="2493"/>
          </w:tcPr>
          <w:p>
            <w:r>
              <w:rPr>
                <w:b w:val="0"/>
                <w:sz w:val="17"/>
              </w:rPr>
            </w:r>
            <w:r>
              <w:rPr>
                <w:b/>
                <w:i w:val="0"/>
                <w:sz w:val="17"/>
              </w:rPr>
              <w:t>Merge and release phase 3</w:t>
            </w:r>
          </w:p>
        </w:tc>
        <w:tc>
          <w:tcPr>
            <w:tcW w:type="dxa" w:w="2493"/>
          </w:tcPr>
          <w:p>
            <w:r>
              <w:rPr>
                <w:b w:val="0"/>
                <w:sz w:val="17"/>
              </w:rPr>
            </w:r>
            <w:r>
              <w:rPr>
                <w:b w:val="0"/>
                <w:i w:val="0"/>
                <w:sz w:val="17"/>
              </w:rPr>
              <w:t>3</w:t>
            </w:r>
          </w:p>
        </w:tc>
        <w:tc>
          <w:tcPr>
            <w:tcW w:type="dxa" w:w="2493"/>
          </w:tcPr>
          <w:p>
            <w:r>
              <w:rPr>
                <w:b w:val="0"/>
                <w:sz w:val="17"/>
              </w:rPr>
            </w:r>
            <w:r>
              <w:rPr>
                <w:b w:val="0"/>
                <w:i w:val="0"/>
                <w:sz w:val="17"/>
              </w:rPr>
              <w:t>14</w:t>
            </w:r>
          </w:p>
        </w:tc>
      </w:tr>
      <w:tr>
        <w:tc>
          <w:tcPr>
            <w:tcW w:type="dxa" w:w="2493"/>
          </w:tcPr>
          <w:p>
            <w:r>
              <w:rPr>
                <w:b w:val="0"/>
                <w:sz w:val="17"/>
              </w:rPr>
            </w:r>
            <w:r>
              <w:rPr>
                <w:b w:val="0"/>
                <w:i w:val="0"/>
                <w:sz w:val="17"/>
              </w:rPr>
              <w:t>6a</w:t>
            </w:r>
          </w:p>
        </w:tc>
        <w:tc>
          <w:tcPr>
            <w:tcW w:type="dxa" w:w="2493"/>
          </w:tcPr>
          <w:p>
            <w:r>
              <w:rPr>
                <w:b w:val="0"/>
                <w:sz w:val="17"/>
              </w:rPr>
            </w:r>
            <w:r>
              <w:rPr>
                <w:b w:val="0"/>
                <w:i w:val="0"/>
                <w:sz w:val="17"/>
              </w:rPr>
              <w:t>8.10: the decisions pack</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c>
          <w:tcPr>
            <w:tcW w:type="dxa" w:w="2493"/>
          </w:tcPr>
          <w:p>
            <w:r>
              <w:rPr>
                <w:b w:val="0"/>
                <w:sz w:val="17"/>
              </w:rPr>
            </w:r>
            <w:r>
              <w:rPr>
                <w:b/>
                <w:i w:val="0"/>
                <w:sz w:val="17"/>
              </w:rPr>
              <w:t>M3a</w:t>
            </w:r>
          </w:p>
        </w:tc>
        <w:tc>
          <w:tcPr>
            <w:tcW w:type="dxa" w:w="2493"/>
          </w:tcPr>
          <w:p>
            <w:r>
              <w:rPr>
                <w:b w:val="0"/>
                <w:sz w:val="17"/>
              </w:rPr>
            </w:r>
            <w:r>
              <w:rPr>
                <w:b/>
                <w:i w:val="0"/>
                <w:sz w:val="17"/>
              </w:rPr>
              <w:t>Merge and release phase 3a</w:t>
            </w:r>
            <w:r>
              <w:rPr>
                <w:b w:val="0"/>
                <w:i w:val="0"/>
                <w:sz w:val="17"/>
              </w:rPr>
              <w:t>, then MAIIC's export and a bootstrap with it on a throw-away database</w:t>
            </w:r>
          </w:p>
        </w:tc>
        <w:tc>
          <w:tcPr>
            <w:tcW w:type="dxa" w:w="2493"/>
          </w:tcPr>
          <w:p>
            <w:r>
              <w:rPr>
                <w:b w:val="0"/>
                <w:sz w:val="17"/>
              </w:rPr>
            </w:r>
            <w:r>
              <w:rPr>
                <w:b w:val="0"/>
                <w:i w:val="0"/>
                <w:sz w:val="17"/>
              </w:rPr>
              <w:t>3a</w:t>
            </w:r>
          </w:p>
        </w:tc>
        <w:tc>
          <w:tcPr>
            <w:tcW w:type="dxa" w:w="2493"/>
          </w:tcPr>
          <w:p>
            <w:r>
              <w:rPr>
                <w:b w:val="0"/>
                <w:sz w:val="17"/>
              </w:rPr>
            </w:r>
            <w:r>
              <w:rPr>
                <w:b w:val="0"/>
                <w:i w:val="0"/>
                <w:sz w:val="17"/>
              </w:rPr>
              <w:t>24 to 28</w:t>
            </w:r>
          </w:p>
        </w:tc>
      </w:tr>
      <w:tr>
        <w:tc>
          <w:tcPr>
            <w:tcW w:type="dxa" w:w="2493"/>
          </w:tcPr>
          <w:p>
            <w:r>
              <w:rPr>
                <w:b w:val="0"/>
                <w:sz w:val="17"/>
              </w:rPr>
            </w:r>
            <w:r>
              <w:rPr>
                <w:b w:val="0"/>
                <w:i w:val="0"/>
                <w:sz w:val="17"/>
              </w:rPr>
              <w:t>7</w:t>
            </w:r>
          </w:p>
        </w:tc>
        <w:tc>
          <w:tcPr>
            <w:tcW w:type="dxa" w:w="2493"/>
          </w:tcPr>
          <w:p>
            <w:r>
              <w:rPr>
                <w:b w:val="0"/>
                <w:sz w:val="17"/>
              </w:rPr>
            </w:r>
            <w:r>
              <w:rPr>
                <w:b w:val="0"/>
                <w:i w:val="0"/>
                <w:sz w:val="17"/>
              </w:rPr>
              <w:t>8.1 to 8.5: the Governance Centre change log</w:t>
            </w:r>
          </w:p>
        </w:tc>
        <w:tc>
          <w:tcPr>
            <w:tcW w:type="dxa" w:w="2493"/>
          </w:tcPr>
          <w:p>
            <w:r>
              <w:rPr>
                <w:b w:val="0"/>
                <w:sz w:val="17"/>
              </w:rPr>
            </w:r>
            <w:r>
              <w:rPr>
                <w:b w:val="0"/>
                <w:i w:val="0"/>
                <w:sz w:val="17"/>
              </w:rPr>
              <w:t>4</w:t>
            </w:r>
          </w:p>
        </w:tc>
        <w:tc>
          <w:tcPr>
            <w:tcW w:type="dxa" w:w="2493"/>
          </w:tcPr>
          <w:p>
            <w:r>
              <w:rPr>
                <w:b w:val="0"/>
                <w:sz w:val="17"/>
              </w:rPr>
            </w:r>
            <w:r>
              <w:rPr>
                <w:b w:val="0"/>
                <w:i w:val="0"/>
                <w:sz w:val="17"/>
              </w:rPr>
              <w:t>9 to 12</w:t>
            </w:r>
          </w:p>
        </w:tc>
      </w:tr>
      <w:tr>
        <w:tc>
          <w:tcPr>
            <w:tcW w:type="dxa" w:w="2493"/>
          </w:tcPr>
          <w:p>
            <w:r>
              <w:rPr>
                <w:b w:val="0"/>
                <w:sz w:val="17"/>
              </w:rPr>
            </w:r>
            <w:r>
              <w:rPr>
                <w:b w:val="0"/>
                <w:i w:val="0"/>
                <w:sz w:val="17"/>
              </w:rPr>
              <w:t>8</w:t>
            </w:r>
          </w:p>
        </w:tc>
        <w:tc>
          <w:tcPr>
            <w:tcW w:type="dxa" w:w="2493"/>
          </w:tcPr>
          <w:p>
            <w:r>
              <w:rPr>
                <w:b w:val="0"/>
                <w:sz w:val="17"/>
              </w:rPr>
            </w:r>
            <w:r>
              <w:rPr>
                <w:b w:val="0"/>
                <w:i w:val="0"/>
                <w:sz w:val="17"/>
              </w:rPr>
              <w:t>8.6: the other approvals</w:t>
            </w:r>
          </w:p>
        </w:tc>
        <w:tc>
          <w:tcPr>
            <w:tcW w:type="dxa" w:w="2493"/>
          </w:tcPr>
          <w:p>
            <w:r>
              <w:rPr>
                <w:b w:val="0"/>
                <w:sz w:val="17"/>
              </w:rPr>
            </w:r>
            <w:r>
              <w:rPr>
                <w:b w:val="0"/>
                <w:i w:val="0"/>
                <w:sz w:val="17"/>
              </w:rPr>
              <w:t>4</w:t>
            </w:r>
          </w:p>
        </w:tc>
        <w:tc>
          <w:tcPr>
            <w:tcW w:type="dxa" w:w="2493"/>
          </w:tcPr>
          <w:p>
            <w:r>
              <w:rPr>
                <w:b w:val="0"/>
                <w:sz w:val="17"/>
              </w:rPr>
            </w:r>
            <w:r>
              <w:rPr>
                <w:b w:val="0"/>
                <w:i w:val="0"/>
                <w:sz w:val="17"/>
              </w:rPr>
              <w:t>13</w:t>
            </w:r>
          </w:p>
        </w:tc>
      </w:tr>
      <w:tr>
        <w:tc>
          <w:tcPr>
            <w:tcW w:type="dxa" w:w="2493"/>
          </w:tcPr>
          <w:p>
            <w:r>
              <w:rPr>
                <w:b w:val="0"/>
                <w:sz w:val="17"/>
              </w:rPr>
            </w:r>
            <w:r>
              <w:rPr>
                <w:b w:val="0"/>
                <w:i w:val="0"/>
                <w:sz w:val="17"/>
              </w:rPr>
              <w:t>9</w:t>
            </w:r>
          </w:p>
        </w:tc>
        <w:tc>
          <w:tcPr>
            <w:tcW w:type="dxa" w:w="2493"/>
          </w:tcPr>
          <w:p>
            <w:r>
              <w:rPr>
                <w:b w:val="0"/>
                <w:sz w:val="17"/>
              </w:rPr>
            </w:r>
            <w:r>
              <w:rPr>
                <w:b w:val="0"/>
                <w:i w:val="0"/>
                <w:sz w:val="17"/>
              </w:rPr>
              <w:t>8.7: the register of approvals</w:t>
            </w:r>
          </w:p>
        </w:tc>
        <w:tc>
          <w:tcPr>
            <w:tcW w:type="dxa" w:w="2493"/>
          </w:tcPr>
          <w:p>
            <w:r>
              <w:rPr>
                <w:b w:val="0"/>
                <w:sz w:val="17"/>
              </w:rPr>
            </w:r>
            <w:r>
              <w:rPr>
                <w:b w:val="0"/>
                <w:i w:val="0"/>
                <w:sz w:val="17"/>
              </w:rPr>
              <w:t>4</w:t>
            </w:r>
          </w:p>
        </w:tc>
        <w:tc>
          <w:tcPr>
            <w:tcW w:type="dxa" w:w="2493"/>
          </w:tcPr>
          <w:p>
            <w:r>
              <w:rPr>
                <w:b w:val="0"/>
                <w:sz w:val="17"/>
              </w:rPr>
            </w:r>
            <w:r>
              <w:rPr>
                <w:b w:val="0"/>
                <w:i w:val="0"/>
                <w:sz w:val="17"/>
              </w:rPr>
              <w:t>15</w:t>
            </w:r>
          </w:p>
        </w:tc>
      </w:tr>
      <w:tr>
        <w:tc>
          <w:tcPr>
            <w:tcW w:type="dxa" w:w="2493"/>
          </w:tcPr>
          <w:p>
            <w:r>
              <w:rPr>
                <w:b w:val="0"/>
                <w:sz w:val="17"/>
              </w:rPr>
            </w:r>
            <w:r>
              <w:rPr>
                <w:b w:val="0"/>
                <w:i w:val="0"/>
                <w:sz w:val="17"/>
              </w:rPr>
              <w:t>10</w:t>
            </w:r>
          </w:p>
        </w:tc>
        <w:tc>
          <w:tcPr>
            <w:tcW w:type="dxa" w:w="2493"/>
          </w:tcPr>
          <w:p>
            <w:r>
              <w:rPr>
                <w:b w:val="0"/>
                <w:sz w:val="17"/>
              </w:rPr>
            </w:r>
            <w:r>
              <w:rPr>
                <w:b w:val="0"/>
                <w:i w:val="0"/>
                <w:sz w:val="17"/>
              </w:rPr>
              <w:t>8.8: the run record</w:t>
            </w:r>
          </w:p>
        </w:tc>
        <w:tc>
          <w:tcPr>
            <w:tcW w:type="dxa" w:w="2493"/>
          </w:tcPr>
          <w:p>
            <w:r>
              <w:rPr>
                <w:b w:val="0"/>
                <w:sz w:val="17"/>
              </w:rPr>
            </w:r>
            <w:r>
              <w:rPr>
                <w:b w:val="0"/>
                <w:i w:val="0"/>
                <w:sz w:val="17"/>
              </w:rPr>
              <w:t>4</w:t>
            </w:r>
          </w:p>
        </w:tc>
        <w:tc>
          <w:tcPr>
            <w:tcW w:type="dxa" w:w="2493"/>
          </w:tcPr>
          <w:p>
            <w:r>
              <w:rPr>
                <w:b w:val="0"/>
                <w:sz w:val="17"/>
              </w:rPr>
            </w:r>
            <w:r>
              <w:rPr>
                <w:b w:val="0"/>
                <w:i w:val="0"/>
                <w:sz w:val="17"/>
              </w:rPr>
              <w:t>16, 17, 19</w:t>
            </w:r>
          </w:p>
        </w:tc>
      </w:tr>
      <w:tr>
        <w:tc>
          <w:tcPr>
            <w:tcW w:type="dxa" w:w="2493"/>
          </w:tcPr>
          <w:p>
            <w:r>
              <w:rPr>
                <w:b w:val="0"/>
                <w:sz w:val="17"/>
              </w:rPr>
            </w:r>
            <w:r>
              <w:rPr>
                <w:b/>
                <w:i w:val="0"/>
                <w:sz w:val="17"/>
              </w:rPr>
              <w:t>M4</w:t>
            </w:r>
          </w:p>
        </w:tc>
        <w:tc>
          <w:tcPr>
            <w:tcW w:type="dxa" w:w="2493"/>
          </w:tcPr>
          <w:p>
            <w:r>
              <w:rPr>
                <w:b w:val="0"/>
                <w:sz w:val="17"/>
              </w:rPr>
            </w:r>
            <w:r>
              <w:rPr>
                <w:b/>
                <w:i w:val="0"/>
                <w:sz w:val="17"/>
              </w:rPr>
              <w:t>Merge and release phase 4</w:t>
            </w:r>
            <w:r>
              <w:rPr>
                <w:b w:val="0"/>
                <w:i w:val="0"/>
                <w:sz w:val="17"/>
              </w:rPr>
              <w:t>: all 28 acceptance tests, the full test suite and a bootstrap on a fresh database with the verify checks passing</w:t>
            </w:r>
          </w:p>
        </w:tc>
        <w:tc>
          <w:tcPr>
            <w:tcW w:type="dxa" w:w="2493"/>
          </w:tcPr>
          <w:p>
            <w:r>
              <w:rPr>
                <w:b w:val="0"/>
                <w:sz w:val="17"/>
              </w:rPr>
            </w:r>
            <w:r>
              <w:rPr>
                <w:b w:val="0"/>
                <w:i w:val="0"/>
                <w:sz w:val="17"/>
              </w:rPr>
              <w:t>4</w:t>
            </w:r>
          </w:p>
        </w:tc>
        <w:tc>
          <w:tcPr>
            <w:tcW w:type="dxa" w:w="2493"/>
          </w:tcPr>
          <w:p>
            <w:r>
              <w:rPr>
                <w:b w:val="0"/>
                <w:sz w:val="17"/>
              </w:rPr>
            </w:r>
            <w:r>
              <w:rPr>
                <w:b w:val="0"/>
                <w:i w:val="0"/>
                <w:sz w:val="17"/>
              </w:rPr>
              <w:t>All</w:t>
            </w:r>
          </w:p>
        </w:tc>
      </w:tr>
    </w:tbl>
    <w:p/>
    <w:p>
      <w:pPr>
        <w:spacing w:after="120"/>
      </w:pPr>
      <w:r>
        <w:rPr>
          <w:b/>
          <w:i w:val="0"/>
        </w:rPr>
        <w:t>Why this way.</w:t>
      </w:r>
      <w:r>
        <w:rPr>
          <w:b w:val="0"/>
          <w:i w:val="0"/>
        </w:rPr>
        <w:t xml:space="preserve"> Each phase reaches MAIIC's server as soon as it is complete, so governed staging (phase 1), the protection of the locked months and UAT mode (phase 2) and the controlled fee rulebook (phase 3) are in use without waiting for the rest; and each merge is small enough to review on its own.</w:t>
      </w:r>
    </w:p>
    <w:p>
      <w:pPr>
        <w:pStyle w:val="Heading2"/>
      </w:pPr>
      <w:r>
        <w:t>12. Glossary</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c>
          <w:tcPr>
            <w:tcW w:type="dxa" w:w="4986"/>
          </w:tcPr>
          <w:p>
            <w:r>
              <w:rPr>
                <w:b w:val="0"/>
                <w:sz w:val="17"/>
              </w:rPr>
            </w:r>
            <w:r>
              <w:rPr>
                <w:b/>
                <w:i w:val="0"/>
                <w:sz w:val="17"/>
              </w:rPr>
              <w:t>UAT mode</w:t>
            </w:r>
          </w:p>
        </w:tc>
        <w:tc>
          <w:tcPr>
            <w:tcW w:type="dxa" w:w="4986"/>
          </w:tcPr>
          <w:p>
            <w:r>
              <w:rPr>
                <w:b w:val="0"/>
                <w:sz w:val="17"/>
              </w:rPr>
            </w:r>
            <w:r>
              <w:rPr>
                <w:b w:val="0"/>
                <w:i w:val="0"/>
                <w:sz w:val="17"/>
              </w:rPr>
              <w:t>The non-production setting in which administrators may approve their own proposals, every such approval labelled and reported, never possible in production</w:t>
            </w:r>
          </w:p>
        </w:tc>
      </w:tr>
      <w:t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