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强省强校</w:t>
            </w:r>
          </w:p>
        </w:tc>
        <w:tc>
          <w:tcPr>
            <w:tcW w:w="4819" w:type="dxa"/>
          </w:tcPr>
          <w:p>
            <w:r>
              <w:t>所有负心态变化×1.15；其学习正收益+10%仅作用于常规学习活动，不提高剧情奖励。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天赋怪</w:t>
            </w:r>
          </w:p>
        </w:tc>
        <w:tc>
          <w:tcPr>
            <w:tcW w:w="4819" w:type="dxa"/>
          </w:tcPr>
          <w:p>
            <w:r>
              <w:t>学习正收益+5%仅作用于常规学习活动，不提高剧情奖励。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符合条件的倍率乘法叠加。例：“天生嘉豪”＋“强省强校”的失恋−10实际为−10×0.8×1.15＝−9.2。其他属性及心态范围为0～100，财富最低0且无100上限，因上限或下限造成的实际增减可能小于表中值。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的正收益先按已有规则减半，再将心态以外的正收益乘2/3；心态回复不额外缩小。精神错乱先随机偏移再按正负判断，负学习收益不变，行动负心态沿用减半规则。身份、天赋和大成功／大失败继续叠加。事件选项按本文表格执行，不受行动收益倍率影响。</w:t>
      </w:r>
    </w:p>
    <w:p>
      <w:r>
        <w:t>基础预览（无身份／天赋加成）：五项理论训练各+1，实验+10/9，文化课+2/3；散步心态+1、文化课+1/9。天赋与身份倍率仍然有效，分数精度在游戏内保留。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−2，高于70时额外心态+2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p>
      <w:pPr>
        <w:pStyle w:val="21"/>
      </w:pPr>
      <w:r>
        <w:t>比赛结果的固定心态结算（新版）</w:t>
      </w:r>
    </w:p>
    <w:p>
      <w:r>
        <w:t>所有角色预赛晋级心态+10，未晋级心态−20；复赛晋级心态+20，未晋级心态−30；决赛无新增心态变化。先使用考前心态计算成绩，再按比赛结果固定结算心态，然后处理当天事件。这项变化不受天赋、身份、行动收益减半、活动判定或权威加成影响，心态限制在0～100，扣到0立即GAMEOVER。新局模拟池按当场真实排名结算同样的心态变化。读档不重复结算，旧存档保留原规则。</w:t>
      </w:r>
    </w:p>
    <w:p>
      <w:r>
        <w:t>新版初始身份：强省强校学习收益+10%、预赛和复赛晋级线+30%、负心态变化增加15%；天赋怪学习收益+10%；一般路过仅第2、4、6……回合额外1行动点，不累积。三项身份描述保持不变。新局模拟角色同步使用参数，包含年级初始学习阶段；旧存档保留原规则，重新开局启用。</w:t>
      </w:r>
    </w:p>
    <w:p>
      <w:r>
        <w:t>新版常规行动：每回合基础行动点由6降为4，卷卷、身份加点及恋爱、迷失扣点继续叠加。力学／电磁学心态消耗−2.5，热学／光学／近代物理−2，实验−1.5，文化课−0.5；再按身份、天赋和活动判定结算。散步心态回复、事件奖励／惩罚、考后心态及每日自然回复按原机制。新局模拟角色同步使用这些参数，旧存档保留旧规则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