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>
            <w:r>
              <w:t>满分400；按当场独立校准线晋级决赛。新版“大手”复赛成绩增加当场复赛线的1/3，决赛成绩增加当场集训队线的1/4；心态折算后加分，四舍五入且不超过满分，再扣坠机分数。旧存档保留原概率机制。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强省强校</w:t>
            </w:r>
          </w:p>
        </w:tc>
        <w:tc>
          <w:tcPr>
            <w:tcW w:w="4819" w:type="dxa"/>
          </w:tcPr>
          <w:p>
            <w:r>
              <w:t>所有负心态变化×1.1；其学习正收益+10%仅作用于常规学习活动，不提高剧情奖励。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天赋怪</w:t>
            </w:r>
          </w:p>
        </w:tc>
        <w:tc>
          <w:tcPr>
            <w:tcW w:w="4819" w:type="dxa"/>
          </w:tcPr>
          <w:p>
            <w:r>
              <w:t>学习正收益+5%仅作用于常规学习活动，不提高剧情奖励。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p>
      <w:pPr>
        <w:pStyle w:val="21"/>
      </w:pPr>
      <w:r>
        <w:t>比赛结果的固定心态结算（新版）</w:t>
      </w:r>
    </w:p>
    <w:p>
      <w:r>
        <w:t>所有角色预赛晋级心态+10，未晋级心态−20；复赛晋级心态+20，未晋级心态−30；决赛无新增心态变化。先使用考前心态计算成绩，再按比赛结果固定结算心态，然后处理当天事件。这项变化不受天赋、身份、行动收益减半、活动判定或权威加成影响，心态限制在0～100，扣到0立即GAMEOVER。新局模拟池按当场真实排名结算同样的心态变化。读档不重复结算，旧存档保留原规则。</w:t>
      </w:r>
    </w:p>
    <w:p>
      <w:r>
        <w:t>新版初始身份按《开局身份.docx》调整：强省强校学习收益+10%，天赋怪学习收益+5%，一般路过每回合行动点+1；强省强校预赛和复赛晋级线+30%、心态消耗+10%及三项身份描述保持不变。新开局的所有模拟参赛者同步使用这些参数。旧存档保留原身份效果，重新开局启用新版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