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rPr>
          <w:lang w:eastAsia="zh-CN"/>
        </w:rPr>
        <w:t>新开局预先生成36回合日程；选择“赢在起跑线”则为48回合。玩家和1000名模拟角色共用日程。同样关系条件下出现相同内容和能力门槛，但选择与属性可以不同。读档不重抽日程。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 w14:paraId="0D5366C1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满分400；按当场独立校准线晋级决赛。“大手”有20%概率无视分数晋级。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rPr>
          <w:lang w:eastAsia="zh-CN"/>
        </w:rPr>
        <w:t>“坠机体质”考试扣分：5%扣120、10%扣80、25%扣60、50%扣40、10%不扣；在心态折算后扣分，最低0。各场考试分数线独立统计。模拟参赛池共1000人：初三450、高一350、高二200；高一和高二分别先积累12、24回合学习。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 w14:paraId="19C2CF5B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剧情的正收益×1.25；负收益不变。另有考试扣分，见上节。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 w14:paraId="748462C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剧情中力学、电磁学、热学、光学、近代物理和实验的正收益×2；文化课始终保持0，文化课正负变化均不能改变它。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每局1000次校准采用同一套新数值和固定事件日程；在心态低于35时优先休息，文化课低于40时优先补课，其余常规活动与事件选择随机。旧存档保留原有数值、事件日程和校准结果；重新开局采用本次规则。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名模拟角色共享同一内容，并根据各自选择独立获得持续效果。旧存档沿用原有嘉豪事件与日程，重新开局启用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