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1" w:lineRule="auto" w:before="0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Media call on July 18, 2026: opening remarks </w:t>
      </w:r>
    </w:p>
    <w:p>
      <w:pPr>
        <w:autoSpaceDN w:val="0"/>
        <w:autoSpaceDE w:val="0"/>
        <w:widowControl/>
        <w:spacing w:line="324" w:lineRule="auto" w:before="310" w:after="0"/>
        <w:ind w:left="0" w:right="0" w:firstLine="0"/>
        <w:jc w:val="center"/>
      </w:pPr>
      <w:r>
        <w:rPr>
          <w:rFonts w:ascii="Mulish" w:hAnsi="Mulish" w:eastAsia="Mulish"/>
          <w:b/>
          <w:i/>
          <w:color w:val="000000"/>
          <w:sz w:val="22"/>
        </w:rPr>
        <w:t xml:space="preserve">Certain definitions in this release relating to a future period of time (including inter alia concerning </w:t>
      </w:r>
      <w:r>
        <w:rPr>
          <w:rFonts w:ascii="Mulish" w:hAnsi="Mulish" w:eastAsia="Mulish"/>
          <w:b/>
          <w:i/>
          <w:color w:val="000000"/>
          <w:sz w:val="22"/>
        </w:rPr>
        <w:t xml:space="preserve">our future business plans or growth prospects) are forward-looking statements intended to </w:t>
      </w:r>
      <w:r>
        <w:rPr>
          <w:rFonts w:ascii="Mulish" w:hAnsi="Mulish" w:eastAsia="Mulish"/>
          <w:b/>
          <w:i/>
          <w:color w:val="000000"/>
          <w:sz w:val="22"/>
        </w:rPr>
        <w:t xml:space="preserve">qualify for the 'safe harbor' under applicable securities laws including the US Private Securities </w:t>
      </w:r>
      <w:r>
        <w:rPr>
          <w:rFonts w:ascii="Mulish" w:hAnsi="Mulish" w:eastAsia="Mulish"/>
          <w:b/>
          <w:i/>
          <w:color w:val="000000"/>
          <w:sz w:val="22"/>
        </w:rPr>
        <w:t xml:space="preserve">Litigation Reform Act of 1995. Such forward-looking statements involve a number of risks and </w:t>
      </w:r>
      <w:r>
        <w:rPr>
          <w:rFonts w:ascii="Mulish" w:hAnsi="Mulish" w:eastAsia="Mulish"/>
          <w:b/>
          <w:i/>
          <w:color w:val="000000"/>
          <w:sz w:val="22"/>
        </w:rPr>
        <w:t>uncertainties that could cause actual results to differ materially from those in such forward-</w:t>
      </w:r>
      <w:r>
        <w:rPr>
          <w:rFonts w:ascii="Mulish" w:hAnsi="Mulish" w:eastAsia="Mulish"/>
          <w:b/>
          <w:i/>
          <w:color w:val="000000"/>
          <w:sz w:val="22"/>
        </w:rPr>
        <w:t xml:space="preserve">looking statements. These risks and uncertainties include, but are not limited to statutory and </w:t>
      </w:r>
      <w:r>
        <w:rPr>
          <w:rFonts w:ascii="Mulish" w:hAnsi="Mulish" w:eastAsia="Mulish"/>
          <w:b/>
          <w:i/>
          <w:color w:val="000000"/>
          <w:sz w:val="22"/>
        </w:rPr>
        <w:t xml:space="preserve">regulatory changes, international economic and business conditions, political or economic </w:t>
      </w:r>
      <w:r>
        <w:rPr>
          <w:rFonts w:ascii="Mulish" w:hAnsi="Mulish" w:eastAsia="Mulish"/>
          <w:b/>
          <w:i/>
          <w:color w:val="000000"/>
          <w:sz w:val="22"/>
        </w:rPr>
        <w:t xml:space="preserve">instability in the jurisdictions where we have operations or which affect global or Indian economic </w:t>
      </w:r>
      <w:r>
        <w:rPr>
          <w:rFonts w:ascii="Mulish" w:hAnsi="Mulish" w:eastAsia="Mulish"/>
          <w:b/>
          <w:i/>
          <w:color w:val="000000"/>
          <w:sz w:val="22"/>
        </w:rPr>
        <w:t xml:space="preserve">conditions, increase in nonperforming loans, unanticipated changes in interest rates, foreign </w:t>
      </w:r>
      <w:r>
        <w:rPr>
          <w:rFonts w:ascii="Mulish" w:hAnsi="Mulish" w:eastAsia="Mulish"/>
          <w:b/>
          <w:i/>
          <w:color w:val="000000"/>
          <w:sz w:val="22"/>
        </w:rPr>
        <w:t xml:space="preserve">exchange rates, equity prices or other rates or prices, our growth and expansion in business, the </w:t>
      </w:r>
      <w:r>
        <w:rPr>
          <w:rFonts w:ascii="Mulish" w:hAnsi="Mulish" w:eastAsia="Mulish"/>
          <w:b/>
          <w:i/>
          <w:color w:val="000000"/>
          <w:sz w:val="22"/>
        </w:rPr>
        <w:t xml:space="preserve">adequacy of our allowance for credit losses, the actual growth in demand for banking products </w:t>
      </w:r>
      <w:r>
        <w:rPr>
          <w:rFonts w:ascii="Mulish" w:hAnsi="Mulish" w:eastAsia="Mulish"/>
          <w:b/>
          <w:i/>
          <w:color w:val="000000"/>
          <w:sz w:val="22"/>
        </w:rPr>
        <w:t xml:space="preserve">and services, investment income, cash flow projections, our exposure to market risks, changes in </w:t>
      </w:r>
      <w:r>
        <w:rPr>
          <w:rFonts w:ascii="Mulish" w:hAnsi="Mulish" w:eastAsia="Mulish"/>
          <w:b/>
          <w:i/>
          <w:color w:val="000000"/>
          <w:sz w:val="22"/>
        </w:rPr>
        <w:t xml:space="preserve">India’s sovereign rating, as well as other risks detailed in the reports filed by us with the United </w:t>
      </w:r>
      <w:r>
        <w:rPr>
          <w:rFonts w:ascii="Mulish" w:hAnsi="Mulish" w:eastAsia="Mulish"/>
          <w:b/>
          <w:i/>
          <w:color w:val="000000"/>
          <w:sz w:val="22"/>
        </w:rPr>
        <w:t xml:space="preserve">States Securities and Exchange Commission. Any forward-looking statements contained herein </w:t>
      </w:r>
      <w:r>
        <w:rPr>
          <w:rFonts w:ascii="Mulish" w:hAnsi="Mulish" w:eastAsia="Mulish"/>
          <w:b/>
          <w:i/>
          <w:color w:val="000000"/>
          <w:sz w:val="22"/>
        </w:rPr>
        <w:t xml:space="preserve">are based on assumptions that we believe to be reasonable as of the date of this release. ICICI </w:t>
      </w:r>
      <w:r>
        <w:rPr>
          <w:rFonts w:ascii="Mulish" w:hAnsi="Mulish" w:eastAsia="Mulish"/>
          <w:b/>
          <w:i/>
          <w:color w:val="000000"/>
          <w:sz w:val="22"/>
        </w:rPr>
        <w:t xml:space="preserve">Bank undertakes no obligation to update forward-looking statements to reflect events or </w:t>
      </w:r>
      <w:r>
        <w:rPr>
          <w:rFonts w:ascii="Mulish" w:hAnsi="Mulish" w:eastAsia="Mulish"/>
          <w:b/>
          <w:i/>
          <w:color w:val="000000"/>
          <w:sz w:val="22"/>
        </w:rPr>
        <w:t xml:space="preserve">circumstances after the date thereof. Additional risks that could affect our future operating results </w:t>
      </w:r>
      <w:r>
        <w:rPr>
          <w:rFonts w:ascii="Mulish" w:hAnsi="Mulish" w:eastAsia="Mulish"/>
          <w:b/>
          <w:i/>
          <w:color w:val="000000"/>
          <w:sz w:val="22"/>
        </w:rPr>
        <w:t xml:space="preserve">are more fully described in our filings with the United States Securities and Exchange Commission. </w:t>
      </w:r>
    </w:p>
    <w:p>
      <w:pPr>
        <w:autoSpaceDN w:val="0"/>
        <w:autoSpaceDE w:val="0"/>
        <w:widowControl/>
        <w:spacing w:line="221" w:lineRule="auto" w:before="126" w:after="0"/>
        <w:ind w:left="0" w:right="0" w:firstLine="0"/>
        <w:jc w:val="left"/>
      </w:pPr>
      <w:r>
        <w:rPr>
          <w:rFonts w:ascii="Mulish" w:hAnsi="Mulish" w:eastAsia="Mulish"/>
          <w:b/>
          <w:i/>
          <w:color w:val="000000"/>
          <w:sz w:val="22"/>
        </w:rPr>
        <w:t xml:space="preserve">These filings are available at www.sec.gov </w:t>
      </w:r>
    </w:p>
    <w:p>
      <w:pPr>
        <w:autoSpaceDN w:val="0"/>
        <w:autoSpaceDE w:val="0"/>
        <w:widowControl/>
        <w:spacing w:line="221" w:lineRule="auto" w:before="288" w:after="0"/>
        <w:ind w:left="0" w:right="0" w:firstLine="0"/>
        <w:jc w:val="left"/>
      </w:pPr>
      <w:r>
        <w:rPr>
          <w:rFonts w:ascii="Mulish" w:hAnsi="Mulish" w:eastAsia="Mulish"/>
          <w:b/>
          <w:i/>
          <w:color w:val="000000"/>
          <w:sz w:val="22"/>
        </w:rPr>
        <w:t xml:space="preserve">This release does not constitute an offer of securities. </w:t>
      </w:r>
    </w:p>
    <w:p>
      <w:pPr>
        <w:autoSpaceDN w:val="0"/>
        <w:autoSpaceDE w:val="0"/>
        <w:widowControl/>
        <w:spacing w:line="221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Good evening everyone. Thank you all for joining us today. </w:t>
      </w:r>
    </w:p>
    <w:p>
      <w:pPr>
        <w:autoSpaceDN w:val="0"/>
        <w:autoSpaceDE w:val="0"/>
        <w:widowControl/>
        <w:spacing w:line="307" w:lineRule="auto" w:before="922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Amidst the global uncertainties, the Indian economy continues to be resilient as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reflected by high frequency indicators, backed by various initiatives taken by the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policy makers. We continue to monitor the developments closely and remain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focused on our long-term strategy, aligned with India’s evolving economic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landscape. </w:t>
      </w:r>
    </w:p>
    <w:p>
      <w:pPr>
        <w:autoSpaceDN w:val="0"/>
        <w:autoSpaceDE w:val="0"/>
        <w:widowControl/>
        <w:spacing w:line="314" w:lineRule="auto" w:before="922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At ICICI Bank, our strategic focus continues to be on growing profit before tax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excluding treasury through the 360-degree customer centric approach and by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serving opportunities across ecosystems and micromarkets. We continue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operate within the framework of our values to strengthen our franchise.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Maintaining high standards of governance, deepening coverage and enhancing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delivery capabilities with a focus on simplicity and operational resilience, are key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drivers for our risk calibrated profitable growth. </w:t>
      </w:r>
    </w:p>
    <w:p>
      <w:pPr>
        <w:autoSpaceDN w:val="0"/>
        <w:autoSpaceDE w:val="0"/>
        <w:widowControl/>
        <w:spacing w:line="274" w:lineRule="auto" w:before="922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Our Board has today approved the financial results of ICICI Bank for the quarter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ended June 30, 2026. I would like to highlight some key numbers: </w:t>
      </w:r>
    </w:p>
    <w:p>
      <w:pPr>
        <w:autoSpaceDN w:val="0"/>
        <w:autoSpaceDE w:val="0"/>
        <w:widowControl/>
        <w:spacing w:line="218" w:lineRule="auto" w:before="92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First, moving on to profit and capital </w:t>
      </w:r>
    </w:p>
    <w:p>
      <w:pPr>
        <w:autoSpaceDN w:val="0"/>
        <w:autoSpaceDE w:val="0"/>
        <w:widowControl/>
        <w:spacing w:line="218" w:lineRule="auto" w:before="764" w:after="0"/>
        <w:ind w:left="284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A.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and capital </w:t>
      </w:r>
    </w:p>
    <w:p>
      <w:pPr>
        <w:autoSpaceDN w:val="0"/>
        <w:tabs>
          <w:tab w:pos="900" w:val="left"/>
        </w:tabs>
        <w:autoSpaceDE w:val="0"/>
        <w:widowControl/>
        <w:spacing w:line="302" w:lineRule="auto" w:before="602" w:after="0"/>
        <w:ind w:left="54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Net interest income grew by 12.7% year-on-year to 24,384 crore Rupees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>Net interest margin was 4.36% in Q1-2027 compared to 4.32% in Q4-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2026 </w:t>
      </w:r>
    </w:p>
    <w:p>
      <w:pPr>
        <w:autoSpaceDN w:val="0"/>
        <w:tabs>
          <w:tab w:pos="900" w:val="left"/>
        </w:tabs>
        <w:autoSpaceDE w:val="0"/>
        <w:widowControl/>
        <w:spacing w:line="322" w:lineRule="auto" w:before="0" w:after="0"/>
        <w:ind w:left="54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>Fee income grew by 23.5% year-on-year to 7,286 crore Rupees in Q1-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Operating expenses grew by 10.4% year-on-year to 12,574 crore Rupees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5.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Core operating profit grew by 15.6% year-on-year to 20,235 crore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Rupees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6.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Core operating profit excluding dividend from subsidiaries grew by 18.3%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year-on-year to 19,125 crore Rupees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7.</w:t>
      </w:r>
      <w:r>
        <w:rPr>
          <w:rFonts w:ascii="Mulish" w:hAnsi="Mulish" w:eastAsia="Mulish"/>
          <w:b/>
          <w:i w:val="0"/>
          <w:color w:val="000000"/>
          <w:sz w:val="22"/>
        </w:rPr>
        <w:t>Provisions (excluding provision for tax) were 1,260 crore Rupees in Q1-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8.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before tax excluding treasury grew by 20.9% year-on-year to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18,975 crore Rupees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9.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Profit after tax grew by 15.9% year-on-year to 14,805 crore Rupees in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10.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Standalone RoE was 17.1%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11.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At June 30, 2026, the Bank had net worth of about 3.5 lakh crore Rupees. </w:t>
      </w:r>
    </w:p>
    <w:p>
      <w:pPr>
        <w:autoSpaceDN w:val="0"/>
        <w:autoSpaceDE w:val="0"/>
        <w:widowControl/>
        <w:spacing w:line="274" w:lineRule="auto" w:before="152" w:after="0"/>
        <w:ind w:left="90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CET-1 ratio was 16.19% and total capital adequacy ratio was 16.84% at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June 30, 2026. </w:t>
      </w:r>
    </w:p>
    <w:p>
      <w:pPr>
        <w:autoSpaceDN w:val="0"/>
        <w:autoSpaceDE w:val="0"/>
        <w:widowControl/>
        <w:spacing w:line="218" w:lineRule="auto" w:before="1536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deposit growth </w:t>
      </w:r>
    </w:p>
    <w:p>
      <w:pPr>
        <w:autoSpaceDN w:val="0"/>
        <w:autoSpaceDE w:val="0"/>
        <w:widowControl/>
        <w:spacing w:line="221" w:lineRule="auto" w:before="422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B.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 Deposit growth </w:t>
      </w:r>
    </w:p>
    <w:p>
      <w:pPr>
        <w:autoSpaceDN w:val="0"/>
        <w:tabs>
          <w:tab w:pos="720" w:val="left"/>
        </w:tabs>
        <w:autoSpaceDE w:val="0"/>
        <w:widowControl/>
        <w:spacing w:line="312" w:lineRule="auto" w:before="604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Total period-end deposits increased by 14.0% year-on-year and 2.2%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quarter-on-quarter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Average deposits increased by 14.0% year-on-year and 6.1% sequentially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during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>Average current and savings account deposits increased by 12.1% year-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on-year </w:t>
      </w:r>
    </w:p>
    <w:p>
      <w:pPr>
        <w:autoSpaceDN w:val="0"/>
        <w:autoSpaceDE w:val="0"/>
        <w:widowControl/>
        <w:spacing w:line="274" w:lineRule="auto" w:before="0" w:after="0"/>
        <w:ind w:left="720" w:right="0" w:hanging="36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Bank opened 97 branches during Q1-2027 and had a network of 7,608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branches and 12,190 ATMs and cash recycling machines at June 30, 2026 </w:t>
      </w:r>
    </w:p>
    <w:p>
      <w:pPr>
        <w:autoSpaceDN w:val="0"/>
        <w:autoSpaceDE w:val="0"/>
        <w:widowControl/>
        <w:spacing w:line="218" w:lineRule="auto" w:before="92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loan growth </w:t>
      </w:r>
    </w:p>
    <w:p>
      <w:pPr>
        <w:autoSpaceDN w:val="0"/>
        <w:autoSpaceDE w:val="0"/>
        <w:widowControl/>
        <w:spacing w:line="218" w:lineRule="auto" w:before="50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C.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 Loan growth </w:t>
      </w:r>
    </w:p>
    <w:p>
      <w:pPr>
        <w:autoSpaceDN w:val="0"/>
        <w:tabs>
          <w:tab w:pos="720" w:val="left"/>
        </w:tabs>
        <w:autoSpaceDE w:val="0"/>
        <w:widowControl/>
        <w:spacing w:line="319" w:lineRule="auto" w:before="602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>The total loan portfolio grew by 19.6% year-on-year and 5.0% quarter-on-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quarter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retail loan portfolio grew by 12.0% year-on-year. Including non-fund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outstanding, the retail loan portfolio was 41.1% of the total portfolio. The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mortgage portfolio grew by 14.6% year-on-year. The personal loan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portfolio grew by 12.9% year-on-year. The credit card portfolio declined by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1.9% year-on-year. The rural portfolio grew by 35.4% year-on-year. The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business banking portfolio grew by 28.2% year-on-year. Growth in the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domestic corporate portfolio was 18.5% year-on-year at June 30, 2026 </w:t>
      </w: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About 71.9% of the corporate loan portfolio was rated ‘A- and above’ at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June 30, 2026 </w:t>
      </w:r>
    </w:p>
    <w:p>
      <w:pPr>
        <w:autoSpaceDN w:val="0"/>
        <w:autoSpaceDE w:val="0"/>
        <w:widowControl/>
        <w:spacing w:line="221" w:lineRule="auto" w:before="153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Moving on to asset quality </w:t>
      </w:r>
    </w:p>
    <w:p>
      <w:pPr>
        <w:autoSpaceDN w:val="0"/>
        <w:autoSpaceDE w:val="0"/>
        <w:widowControl/>
        <w:spacing w:line="221" w:lineRule="auto" w:before="308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D.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Asset Quality </w:t>
      </w:r>
    </w:p>
    <w:p>
      <w:pPr>
        <w:autoSpaceDN w:val="0"/>
        <w:tabs>
          <w:tab w:pos="720" w:val="left"/>
        </w:tabs>
        <w:autoSpaceDE w:val="0"/>
        <w:widowControl/>
        <w:spacing w:line="302" w:lineRule="auto" w:before="604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1.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Net NPA ratio was 0.35% at June 30, 2026 compared to 0.33% at March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31, 2026 and 0.41% at June 30, 2025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2.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During Q1-2027, there were net additions to gross NPAs of 2,707 crore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Rupees </w:t>
      </w:r>
    </w:p>
    <w:p>
      <w:pPr>
        <w:autoSpaceDN w:val="0"/>
        <w:tabs>
          <w:tab w:pos="720" w:val="left"/>
        </w:tabs>
        <w:autoSpaceDE w:val="0"/>
        <w:widowControl/>
        <w:spacing w:line="322" w:lineRule="auto" w:before="0" w:after="0"/>
        <w:ind w:left="36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3.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Gross NPA additions were 5,552 crore Rupees in Q1-2027. Recoveries and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upgrades of NPAs, excluding write-offs and sale, were 2,845 crore Rupees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4.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Gross NPAs written off were 1,673 crore Rupees in Q1-2027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5.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There was sale of NPAs of 239 crore Rupees for cash in the current quarter </w:t>
      </w:r>
      <w:r>
        <w:rPr>
          <w:rFonts w:ascii="Mulish" w:hAnsi="Mulish" w:eastAsia="Mulish"/>
          <w:b/>
          <w:i w:val="0"/>
          <w:color w:val="000000"/>
          <w:sz w:val="22"/>
        </w:rPr>
        <w:t>6.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Provisioning coverage ratio on non-performing loans was 74.7% at June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7.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Total fund based outstanding to all borrowers under resolution as per the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various extant regulations was 1,363 crore Rupees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8.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Loans and non-fund based outstanding to performing corporate borrowers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rated BB and below were 3,485 crore Rupees at June 30, 2026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9.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total provisions during Q1-2027 were 1,260 crore Rupees or 6.2% of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core operating profit and 0.32% of average advances </w:t>
      </w:r>
      <w:r>
        <w:rPr>
          <w:rFonts w:ascii="Mulish" w:hAnsi="Mulish" w:eastAsia="Mulish"/>
          <w:b/>
          <w:sz w:val="22"/>
        </w:rPr>
        <w:t xml:space="preserve"> </w:t>
      </w:r>
      <w:r>
        <w:rPr>
          <w:rFonts w:ascii="Mulish" w:hAnsi="Mulish" w:eastAsia="Mulish"/>
          <w:b/>
          <w:i w:val="0"/>
          <w:color w:val="000000"/>
          <w:sz w:val="22"/>
        </w:rPr>
        <w:t>10.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The Bank continues to hold contingency provisions of 13,100 crore Rupees </w:t>
      </w:r>
      <w:r>
        <w:rPr>
          <w:rFonts w:ascii="Mulish" w:hAnsi="Mulish" w:eastAsia="Mulish"/>
          <w:b/>
          <w:sz w:val="22"/>
        </w:rPr>
        <w:tab/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at June 30, 2026 </w:t>
      </w:r>
    </w:p>
    <w:p>
      <w:pPr>
        <w:autoSpaceDN w:val="0"/>
        <w:autoSpaceDE w:val="0"/>
        <w:widowControl/>
        <w:spacing w:line="293" w:lineRule="auto" w:before="762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At ICICI Bank, customers remain at the heart of every initiative. I would like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share some of the latest updates on AI that make banking simpler, safer,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more convenient. </w:t>
      </w:r>
    </w:p>
    <w:p>
      <w:pPr>
        <w:autoSpaceDN w:val="0"/>
        <w:autoSpaceDE w:val="0"/>
        <w:widowControl/>
        <w:spacing w:line="307" w:lineRule="auto" w:before="924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ICICI Bank has established a structured and disciplined approach to scale AI, with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 focus on long-term value creation, risk management and enterprise-wide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adoption. The Bank has invested in an enterprise AI platform, which serves as a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secure environment for development, hosting and deployment of AI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Generative AI use cases. </w:t>
      </w:r>
    </w:p>
    <w:p>
      <w:pPr>
        <w:autoSpaceDN w:val="0"/>
        <w:autoSpaceDE w:val="0"/>
        <w:widowControl/>
        <w:spacing w:line="302" w:lineRule="auto" w:before="924" w:after="0"/>
        <w:ind w:left="0" w:right="22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The Bank continues to invest in AI and Generative AI use cases across areas such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as portfolio monitoring, customer onboarding, fraud detection, document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extraction and summarisation, and customer servicing among others. These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capabilities empower the Bank to enhance customer communication, improve </w:t>
      </w: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efficiency, achieve faster turnaround time, support decision-making across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functions and deliver seamless customer experiences. </w:t>
      </w:r>
    </w:p>
    <w:p>
      <w:pPr>
        <w:autoSpaceDN w:val="0"/>
        <w:autoSpaceDE w:val="0"/>
        <w:widowControl/>
        <w:spacing w:line="317" w:lineRule="auto" w:before="924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Our approach places emphasis on information security, data privacy and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responsible AI governance. We have implemented a comprehensive framework </w:t>
      </w:r>
      <w:r>
        <w:rPr>
          <w:rFonts w:ascii="Mulish" w:hAnsi="Mulish" w:eastAsia="Mulish"/>
          <w:b/>
          <w:i w:val="0"/>
          <w:color w:val="000000"/>
          <w:sz w:val="22"/>
        </w:rPr>
        <w:t>of guardrails, including defining ringfenced areas for AI usage, human-in-the-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loop oversight, stringent data access controls and effective model governance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protocols. Parallelly, the Bank continues to invest in internal capability building,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with focussed upskilling initiatives across business, digital and technology teams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intended to strengthen enterprise-wide readiness and support sustainable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scaling of AI capabilities across the organisation. </w:t>
      </w:r>
    </w:p>
    <w:p>
      <w:pPr>
        <w:autoSpaceDN w:val="0"/>
        <w:autoSpaceDE w:val="0"/>
        <w:widowControl/>
        <w:spacing w:line="314" w:lineRule="auto" w:before="920" w:after="0"/>
        <w:ind w:left="0" w:right="20" w:firstLine="0"/>
        <w:jc w:val="both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Going forward, we will continue to operate within our strategic framework while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focusing on micromarkets and ecosystems. The principles of “Fair to Customer,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Fair to Bank”, “One Bank, One Team” and “Return of Capital” will guide our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operations. We focus on building a culture where every employee in the Bank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serves customers with humility and upholds the values of brand ICICI. We aim to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be the trusted financial services provider of choice for our customers and deliver </w:t>
      </w:r>
      <w:r>
        <w:rPr>
          <w:rFonts w:ascii="Mulish" w:hAnsi="Mulish" w:eastAsia="Mulish"/>
          <w:b/>
          <w:i w:val="0"/>
          <w:color w:val="000000"/>
          <w:sz w:val="22"/>
        </w:rPr>
        <w:t xml:space="preserve">sustainable returns to our shareholders. </w:t>
      </w:r>
    </w:p>
    <w:p>
      <w:pPr>
        <w:autoSpaceDN w:val="0"/>
        <w:autoSpaceDE w:val="0"/>
        <w:widowControl/>
        <w:spacing w:line="221" w:lineRule="auto" w:before="924" w:after="0"/>
        <w:ind w:left="0" w:right="0" w:firstLine="0"/>
        <w:jc w:val="center"/>
      </w:pPr>
      <w:r>
        <w:rPr>
          <w:rFonts w:ascii="Mulish" w:hAnsi="Mulish" w:eastAsia="Mulish"/>
          <w:b/>
          <w:i w:val="0"/>
          <w:color w:val="000000"/>
          <w:sz w:val="22"/>
        </w:rPr>
        <w:t xml:space="preserve">With this, I conclude my opening remarks. I will be happy to take your questions.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134" w:bottom="1134" w:left="1134" w:header="0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ulish" w:hAnsi="Mulish"/>
        <w:b/>
        <w:sz w:val="22"/>
      </w:rPr>
      <w:t xml:space="preserve">Page </w:t>
      <w:fldChar w:fldCharType="begin"/>
    </w:r>
    <w:r>
      <w:rPr>
        <w:rFonts w:ascii="Mulish" w:hAnsi="Mulish"/>
        <w:b/>
        <w:sz w:val="22"/>
      </w:rPr>
      <w:instrText>PAGE</w:instrText>
      <w:fldChar w:fldCharType="end"/>
    </w:r>
    <w:r>
      <w:rPr>
        <w:rFonts w:ascii="Mulish" w:hAnsi="Mulish"/>
        <w:b/>
        <w:sz w:val="22"/>
      </w:rPr>
      <w:t xml:space="preserve"> of </w:t>
    </w:r>
    <w:r>
      <w:rPr>
        <w:rFonts w:ascii="Mulish" w:hAnsi="Mulish"/>
        <w:b/>
        <w:sz w:val="22"/>
      </w:rPr>
      <w:fldChar w:fldCharType="begin"/>
    </w:r>
    <w:r>
      <w:rPr>
        <w:rFonts w:ascii="Mulish" w:hAnsi="Mulish"/>
        <w:b/>
        <w:sz w:val="22"/>
      </w:rPr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160"/>
      <w:ind w:left="-1134" w:right="-1134"/>
      <w:jc w:val="center"/>
    </w:pPr>
    <w:r/>
    <w:r>
      <w:drawing>
        <wp:inline xmlns:a="http://schemas.openxmlformats.org/drawingml/2006/main" xmlns:pic="http://schemas.openxmlformats.org/drawingml/2006/picture">
          <wp:extent cx="7560000" cy="1077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ic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77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ulish" w:hAnsi="Mulish" w:eastAsia="Mulish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ulish" w:hAnsi="Mulish" w:eastAsia="Mulish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ulish" w:hAnsi="Mulish" w:eastAsia="Mulish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ulish" w:hAnsi="Mulish" w:eastAsia="Mulish"/>
      <w:sz w:val="22"/>
    </w:rPr>
  </w:style>
  <w:style w:type="table" w:default="1" w:styleId="TableNormal">
    <w:name w:val="Normal Table"/>
    <w:uiPriority w:val="99"/>
    <w:semiHidden/>
    <w:unhideWhenUsed/>
    <w:rPr>
      <w:rFonts w:ascii="Mulish" w:hAnsi="Mulish" w:eastAsia="Mulish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ulish" w:hAnsi="Mulish" w:eastAsia="Mulish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ulish" w:hAnsi="Mulish" w:eastAsia="Mulish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ulish" w:hAnsi="Mulish" w:eastAsia="Mulish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ulish" w:hAnsi="Mulish" w:eastAsia="Mulish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ulish" w:hAnsi="Mulish" w:eastAsia="Mulish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ulish" w:hAnsi="Mulish" w:eastAsia="Mulish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ulish" w:hAnsi="Mulish" w:eastAsia="Mulish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ulish" w:hAnsi="Mulish" w:eastAsia="Mulish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ulish" w:hAnsi="Mulish" w:eastAsia="Mulish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ulish" w:hAnsi="Mulish" w:eastAsia="Mulish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ulish" w:hAnsi="Mulish" w:eastAsia="Mulish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ulish" w:hAnsi="Mulish" w:eastAsia="Mulish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ulish" w:hAnsi="Mulish" w:eastAsia="Mulish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ulish" w:hAnsi="Mulish" w:eastAsia="Mulish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ulish" w:hAnsi="Mulish" w:eastAsia="Mulish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ulish" w:hAnsi="Mulish" w:eastAsia="Mulish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ulish" w:hAnsi="Mulish" w:eastAsia="Mulish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ulish" w:hAnsi="Mulish" w:eastAsia="Mulish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ulish" w:hAnsi="Mulish" w:eastAsia="Mulish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ulish" w:hAnsi="Mulish" w:eastAsia="Mulish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ulish" w:hAnsi="Mulish" w:eastAsia="Mulish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ulish" w:hAnsi="Mulish" w:eastAsia="Mulish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ulish" w:hAnsi="Mulish" w:eastAsia="Mulish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ulish" w:hAnsi="Mulish" w:eastAsia="Mulish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Mulish" w:hAnsi="Mulish" w:eastAsia="Mulish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ulish" w:hAnsi="Mulish" w:eastAsia="Mulish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ulish" w:hAnsi="Mulish" w:eastAsia="Mulish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ulish" w:hAnsi="Mulish" w:eastAsia="Mulish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ulish" w:hAnsi="Mulish" w:eastAsia="Mulish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ulish" w:hAnsi="Mulish" w:eastAsia="Mulish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ulish" w:hAnsi="Mulish" w:eastAsia="Mulish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